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2D302C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2D302C" w:rsidRPr="002D302C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</w:p>
    <w:p w:rsidR="007B74CA" w:rsidRDefault="00072988" w:rsidP="00D94FD8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«Развитие и функционирование дорожно-транспортного комплекса» на 2023-2027 годы» не противоречит требованиям действующего законодательства.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«Развитие и функционирование дорожно-транспортного комплекса»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Управление жилищно-коммунального хозяйства и развития городской инфраструктуры города Лыткарино, заказчиком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транспортных услуг для населения;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современной и эффективной транспортной системы на территории городского округа Московской области, обеспечивающей комфортные условия жизнедеятельности населения;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нормативного состояния автомобильных дорог местного значения на территории городского округа Московской области;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(оказание услуг) муниципальных учреждений в сфере дорожного хозяйства.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Стр</w:t>
      </w:r>
      <w:r>
        <w:rPr>
          <w:sz w:val="28"/>
          <w:szCs w:val="28"/>
        </w:rPr>
        <w:t xml:space="preserve">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транспорта и дорожной инфраструктуры Московской области.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в графе «Цели муниципальной программы» паспорта Программы не указан городской округ Московской области (цели 2, 3), следовало указать – городской округ Лыткарино Московской области.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форме паспорта Программы, рекомендованной Министерством транспорта и дорожной инфраструктуры Московской области, а также Положением о муниципальных программах среди источников финансирования муниципальной программы указаны внебюджетные средства, в паспорте Программы представленного проекта внебюджетные средства, как источник финансирования муниципальной программы, отсутствуют, при этом в перечне мероприятий Программы – указаны по всем мероприятиям.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7D9D">
        <w:rPr>
          <w:sz w:val="28"/>
          <w:szCs w:val="28"/>
        </w:rPr>
        <w:t xml:space="preserve"> «</w:t>
      </w:r>
      <w:r>
        <w:rPr>
          <w:sz w:val="28"/>
          <w:szCs w:val="28"/>
        </w:rPr>
        <w:t>Пассажирский транспорт общего пользования</w:t>
      </w:r>
      <w:r w:rsidRPr="006B7D9D">
        <w:rPr>
          <w:sz w:val="28"/>
          <w:szCs w:val="28"/>
        </w:rPr>
        <w:t>»;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«Дороги Подмосковья»;</w:t>
      </w:r>
    </w:p>
    <w:p w:rsidR="002D302C" w:rsidRPr="00D11BE4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BE4">
        <w:rPr>
          <w:sz w:val="28"/>
          <w:szCs w:val="28"/>
        </w:rPr>
        <w:t>. «Обеспечивающая подпрограмма».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паспорте Программы «Обеспечивающая подпрограмма» указана под номером 4, в перечне мероприятий Программы данная подпрограмма указана под номером 5. В соответствии со Справочником </w:t>
      </w:r>
      <w:r w:rsidRPr="00A75CBB">
        <w:rPr>
          <w:sz w:val="28"/>
          <w:szCs w:val="28"/>
        </w:rPr>
        <w:t>типового бюджета городского округа Московской области следовало указать</w:t>
      </w:r>
      <w:r>
        <w:rPr>
          <w:sz w:val="28"/>
          <w:szCs w:val="28"/>
        </w:rPr>
        <w:t xml:space="preserve"> данную подпрограмму под номером 5.</w:t>
      </w:r>
    </w:p>
    <w:p w:rsidR="002D302C" w:rsidRPr="00D11BE4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 w:rsidRPr="00D11BE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также </w:t>
      </w:r>
      <w:r w:rsidRPr="00D11BE4">
        <w:rPr>
          <w:sz w:val="28"/>
          <w:szCs w:val="28"/>
        </w:rPr>
        <w:t>отметить, что в перечне мероприятий подпрограмм по отдельным мероприятиям Программы не предусмотрены планируемые результаты выполнения</w:t>
      </w:r>
      <w:r>
        <w:rPr>
          <w:sz w:val="28"/>
          <w:szCs w:val="28"/>
        </w:rPr>
        <w:t xml:space="preserve"> мероприятий</w:t>
      </w:r>
      <w:r w:rsidRPr="00D11BE4">
        <w:rPr>
          <w:sz w:val="28"/>
          <w:szCs w:val="28"/>
        </w:rPr>
        <w:t xml:space="preserve">. Кроме того, что в разделе 3 «Планируемые результаты реализации муниципальной программы «Развитие и функционирование дорожно-транспортного комплекса» на 2023-2027 годы» </w:t>
      </w:r>
      <w:r>
        <w:rPr>
          <w:sz w:val="28"/>
          <w:szCs w:val="28"/>
        </w:rPr>
        <w:t xml:space="preserve">в графе 11 </w:t>
      </w:r>
      <w:r w:rsidRPr="00D11BE4">
        <w:rPr>
          <w:sz w:val="28"/>
          <w:szCs w:val="28"/>
        </w:rPr>
        <w:t>указаны номера основных мероприятий, оказывающих влияние на достижение показателей, которых не содержится в перечне мероприятий Программы, а также не указаны показатели</w:t>
      </w:r>
      <w:bookmarkStart w:id="0" w:name="_GoBack"/>
      <w:bookmarkEnd w:id="0"/>
      <w:r w:rsidRPr="00D11BE4">
        <w:rPr>
          <w:sz w:val="28"/>
          <w:szCs w:val="28"/>
        </w:rPr>
        <w:t xml:space="preserve"> реализации мероприятий подпрограммы </w:t>
      </w:r>
      <w:r>
        <w:rPr>
          <w:sz w:val="28"/>
          <w:szCs w:val="28"/>
        </w:rPr>
        <w:t>4</w:t>
      </w:r>
      <w:r w:rsidRPr="00D11BE4">
        <w:rPr>
          <w:sz w:val="28"/>
          <w:szCs w:val="28"/>
        </w:rPr>
        <w:t>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 Лыткарино, и соответствуют заявленным целям Программы.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2D302C" w:rsidRDefault="002D302C" w:rsidP="002D30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и функционирование дорожно-транспортного комплекса»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2D302C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F66F-C01E-4F0C-AC8E-95119F99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2022-12-06T13:20:00Z</cp:lastPrinted>
  <dcterms:created xsi:type="dcterms:W3CDTF">2022-01-12T06:37:00Z</dcterms:created>
  <dcterms:modified xsi:type="dcterms:W3CDTF">2022-12-06T13:26:00Z</dcterms:modified>
</cp:coreProperties>
</file>