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11" w:rsidRDefault="00A47F11" w:rsidP="00220472">
      <w:pPr>
        <w:pStyle w:val="Default"/>
        <w:spacing w:line="276" w:lineRule="auto"/>
        <w:jc w:val="center"/>
        <w:rPr>
          <w:b/>
          <w:bCs/>
          <w:sz w:val="28"/>
          <w:szCs w:val="28"/>
        </w:rPr>
      </w:pPr>
      <w:r>
        <w:rPr>
          <w:b/>
          <w:bCs/>
          <w:sz w:val="28"/>
          <w:szCs w:val="28"/>
        </w:rPr>
        <w:t>Информация</w:t>
      </w:r>
    </w:p>
    <w:p w:rsidR="00A47F11" w:rsidRDefault="00A47F11" w:rsidP="00220472">
      <w:pPr>
        <w:pStyle w:val="Default"/>
        <w:spacing w:line="276" w:lineRule="auto"/>
        <w:jc w:val="center"/>
        <w:rPr>
          <w:sz w:val="28"/>
          <w:szCs w:val="28"/>
        </w:rPr>
      </w:pPr>
    </w:p>
    <w:p w:rsidR="00067C3B" w:rsidRDefault="007B74CA" w:rsidP="00220472">
      <w:pPr>
        <w:spacing w:line="276" w:lineRule="auto"/>
        <w:jc w:val="center"/>
        <w:rPr>
          <w:b/>
          <w:sz w:val="28"/>
          <w:szCs w:val="28"/>
        </w:rPr>
      </w:pPr>
      <w:r w:rsidRPr="00651A81">
        <w:rPr>
          <w:b/>
          <w:sz w:val="28"/>
          <w:szCs w:val="28"/>
        </w:rPr>
        <w:t>по ре</w:t>
      </w:r>
      <w:r w:rsidR="00067C3B">
        <w:rPr>
          <w:b/>
          <w:sz w:val="28"/>
          <w:szCs w:val="28"/>
        </w:rPr>
        <w:t>зультатам проведения экспертизы</w:t>
      </w:r>
    </w:p>
    <w:p w:rsidR="00CC7783" w:rsidRPr="00CC7783" w:rsidRDefault="007C221D" w:rsidP="00CC7783">
      <w:pPr>
        <w:spacing w:line="276" w:lineRule="auto"/>
        <w:jc w:val="center"/>
        <w:rPr>
          <w:b/>
          <w:sz w:val="28"/>
          <w:szCs w:val="28"/>
        </w:rPr>
      </w:pPr>
      <w:r w:rsidRPr="007C221D">
        <w:rPr>
          <w:b/>
          <w:sz w:val="28"/>
          <w:szCs w:val="28"/>
        </w:rPr>
        <w:t xml:space="preserve">проекта </w:t>
      </w:r>
      <w:r w:rsidR="00CC7783" w:rsidRPr="00CC7783">
        <w:rPr>
          <w:b/>
          <w:sz w:val="28"/>
          <w:szCs w:val="28"/>
        </w:rPr>
        <w:t>решения Совета депутатов городского округа Лыткарино</w:t>
      </w:r>
    </w:p>
    <w:p w:rsidR="007B74CA" w:rsidRDefault="00CC7783" w:rsidP="00CC7783">
      <w:pPr>
        <w:spacing w:line="276" w:lineRule="auto"/>
        <w:jc w:val="center"/>
        <w:rPr>
          <w:b/>
          <w:sz w:val="28"/>
          <w:szCs w:val="28"/>
        </w:rPr>
      </w:pPr>
      <w:r w:rsidRPr="00CC7783">
        <w:rPr>
          <w:b/>
          <w:sz w:val="28"/>
          <w:szCs w:val="28"/>
        </w:rPr>
        <w:t>«О внесении изменений и дополнений в решение Совета депутатов городского округа Лыткарино «Об утверждении бюджета городского округа Лыткарино на 2023 год и на плановый период 2024 и 2025 годов»</w:t>
      </w:r>
    </w:p>
    <w:p w:rsidR="007C221D" w:rsidRDefault="007C221D" w:rsidP="00220472">
      <w:pPr>
        <w:spacing w:line="276" w:lineRule="auto"/>
        <w:jc w:val="center"/>
        <w:rPr>
          <w:b/>
          <w:sz w:val="28"/>
          <w:szCs w:val="28"/>
        </w:rPr>
      </w:pPr>
    </w:p>
    <w:p w:rsidR="007B74CA" w:rsidRPr="007B74CA" w:rsidRDefault="007B74CA" w:rsidP="00220472">
      <w:pPr>
        <w:spacing w:line="276" w:lineRule="auto"/>
        <w:jc w:val="right"/>
        <w:rPr>
          <w:sz w:val="28"/>
          <w:szCs w:val="28"/>
        </w:rPr>
      </w:pPr>
      <w:r w:rsidRPr="00ED78C8">
        <w:rPr>
          <w:sz w:val="28"/>
          <w:szCs w:val="28"/>
        </w:rPr>
        <w:t xml:space="preserve">                                                                               </w:t>
      </w:r>
      <w:r w:rsidR="00136E72" w:rsidRPr="00ED78C8">
        <w:rPr>
          <w:sz w:val="28"/>
          <w:szCs w:val="28"/>
        </w:rPr>
        <w:t xml:space="preserve">                             </w:t>
      </w:r>
      <w:r w:rsidRPr="00ED78C8">
        <w:rPr>
          <w:sz w:val="28"/>
          <w:szCs w:val="28"/>
        </w:rPr>
        <w:t xml:space="preserve"> </w:t>
      </w:r>
      <w:r w:rsidR="0080327F">
        <w:rPr>
          <w:sz w:val="28"/>
          <w:szCs w:val="28"/>
        </w:rPr>
        <w:t>2</w:t>
      </w:r>
      <w:r w:rsidR="002531DD">
        <w:rPr>
          <w:sz w:val="28"/>
          <w:szCs w:val="28"/>
        </w:rPr>
        <w:t>7</w:t>
      </w:r>
      <w:r w:rsidR="00295D03">
        <w:rPr>
          <w:sz w:val="28"/>
          <w:szCs w:val="28"/>
        </w:rPr>
        <w:t>.0</w:t>
      </w:r>
      <w:r w:rsidR="002531DD">
        <w:rPr>
          <w:sz w:val="28"/>
          <w:szCs w:val="28"/>
        </w:rPr>
        <w:t>7</w:t>
      </w:r>
      <w:r w:rsidRPr="00ED78C8">
        <w:rPr>
          <w:sz w:val="28"/>
          <w:szCs w:val="28"/>
        </w:rPr>
        <w:t>.202</w:t>
      </w:r>
      <w:r w:rsidR="00067C3B">
        <w:rPr>
          <w:sz w:val="28"/>
          <w:szCs w:val="28"/>
        </w:rPr>
        <w:t>3</w:t>
      </w:r>
    </w:p>
    <w:p w:rsidR="00A47F11" w:rsidRDefault="00A47F11" w:rsidP="00220472">
      <w:pPr>
        <w:pStyle w:val="Default"/>
        <w:spacing w:line="276" w:lineRule="auto"/>
        <w:rPr>
          <w:sz w:val="28"/>
          <w:szCs w:val="28"/>
        </w:rPr>
      </w:pPr>
    </w:p>
    <w:p w:rsidR="002531DD" w:rsidRPr="002531DD" w:rsidRDefault="002531DD" w:rsidP="002531DD">
      <w:pPr>
        <w:spacing w:line="276" w:lineRule="auto"/>
        <w:ind w:firstLine="709"/>
        <w:contextualSpacing/>
        <w:jc w:val="both"/>
        <w:rPr>
          <w:sz w:val="28"/>
          <w:szCs w:val="28"/>
        </w:rPr>
      </w:pPr>
      <w:r>
        <w:rPr>
          <w:sz w:val="28"/>
          <w:szCs w:val="28"/>
        </w:rPr>
        <w:t>П</w:t>
      </w:r>
      <w:r w:rsidRPr="002531DD">
        <w:rPr>
          <w:sz w:val="28"/>
          <w:szCs w:val="28"/>
        </w:rPr>
        <w:t xml:space="preserve">роектом </w:t>
      </w:r>
      <w:r w:rsidRPr="002531DD">
        <w:rPr>
          <w:sz w:val="28"/>
          <w:szCs w:val="28"/>
        </w:rPr>
        <w:t xml:space="preserve">решения Совета депутатов городского округа Лыткарино «О внесении изменений и дополнений в решение Совета депутатов городского округа Лыткарино «Об утверждении бюджета городского округа Лыткарино на 2023 год и на плановый период 2024 и 2025 годов» </w:t>
      </w:r>
      <w:r w:rsidRPr="002531DD">
        <w:rPr>
          <w:sz w:val="28"/>
          <w:szCs w:val="28"/>
        </w:rPr>
        <w:t>предлагается утвердить следующие основные характеристики бюджета городского округа Лыткарино:</w:t>
      </w:r>
    </w:p>
    <w:p w:rsidR="002531DD" w:rsidRPr="002531DD" w:rsidRDefault="002531DD" w:rsidP="002531DD">
      <w:pPr>
        <w:spacing w:line="276" w:lineRule="auto"/>
        <w:ind w:firstLine="709"/>
        <w:contextualSpacing/>
        <w:jc w:val="both"/>
        <w:rPr>
          <w:sz w:val="28"/>
          <w:szCs w:val="28"/>
        </w:rPr>
      </w:pPr>
      <w:r w:rsidRPr="002531DD">
        <w:rPr>
          <w:sz w:val="28"/>
          <w:szCs w:val="28"/>
        </w:rPr>
        <w:t>на 2023 год</w:t>
      </w:r>
    </w:p>
    <w:p w:rsidR="002531DD" w:rsidRPr="002531DD" w:rsidRDefault="002531DD" w:rsidP="002531DD">
      <w:pPr>
        <w:spacing w:line="276" w:lineRule="auto"/>
        <w:ind w:firstLine="709"/>
        <w:contextualSpacing/>
        <w:jc w:val="both"/>
        <w:rPr>
          <w:sz w:val="28"/>
          <w:szCs w:val="28"/>
        </w:rPr>
      </w:pPr>
      <w:r w:rsidRPr="002531DD">
        <w:rPr>
          <w:sz w:val="28"/>
          <w:szCs w:val="28"/>
        </w:rPr>
        <w:t>- по доходам – 3 880 745,0 тыс. рублей (в том числе межбюджетные трансферты, получаемые из бюджета Московской области на 2 493 093,7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 по расходам – в сумме 3 900 576,8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 с дефицитом в размере 19 831,8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на 2024 год</w:t>
      </w:r>
    </w:p>
    <w:p w:rsidR="002531DD" w:rsidRPr="002531DD" w:rsidRDefault="002531DD" w:rsidP="002531DD">
      <w:pPr>
        <w:spacing w:line="276" w:lineRule="auto"/>
        <w:ind w:firstLine="709"/>
        <w:contextualSpacing/>
        <w:jc w:val="both"/>
        <w:rPr>
          <w:sz w:val="28"/>
          <w:szCs w:val="28"/>
        </w:rPr>
      </w:pPr>
      <w:r w:rsidRPr="002531DD">
        <w:rPr>
          <w:sz w:val="28"/>
          <w:szCs w:val="28"/>
        </w:rPr>
        <w:t>- по доходам – 4 178 960,5 тыс. рублей (в том числе межбюджетные трансферты, получаемые из бюджета Московской области на 2 918 368,1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 по расходам – в сумме 4 176 710,5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 с профицитом в размере 2 250,0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на 2025 год</w:t>
      </w:r>
    </w:p>
    <w:p w:rsidR="002531DD" w:rsidRPr="002531DD" w:rsidRDefault="002531DD" w:rsidP="002531DD">
      <w:pPr>
        <w:spacing w:line="276" w:lineRule="auto"/>
        <w:ind w:firstLine="709"/>
        <w:contextualSpacing/>
        <w:jc w:val="both"/>
        <w:rPr>
          <w:sz w:val="28"/>
          <w:szCs w:val="28"/>
        </w:rPr>
      </w:pPr>
      <w:r w:rsidRPr="002531DD">
        <w:rPr>
          <w:sz w:val="28"/>
          <w:szCs w:val="28"/>
        </w:rPr>
        <w:t xml:space="preserve">- по доходам – 2 108 068,8 тыс. рублей (в том числе межбюджетные трансферты, получаемые из бюджета Московской области на 947 939,4 тыс. рублей); </w:t>
      </w:r>
      <w:r w:rsidRPr="002531DD">
        <w:rPr>
          <w:sz w:val="28"/>
          <w:szCs w:val="28"/>
        </w:rPr>
        <w:tab/>
        <w:t>- по расходам – в сумме 2 104 776,4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 с профицитом в размере 3 292,4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В утверждённый бюджет городского округа Лыткарино на 2023 год и плановый период 2024 и 2025 годов проектом предлагается внести следующие изменения:</w:t>
      </w:r>
    </w:p>
    <w:p w:rsidR="002531DD" w:rsidRPr="002531DD" w:rsidRDefault="002531DD" w:rsidP="002531DD">
      <w:pPr>
        <w:spacing w:line="276" w:lineRule="auto"/>
        <w:ind w:firstLine="709"/>
        <w:contextualSpacing/>
        <w:jc w:val="both"/>
        <w:rPr>
          <w:sz w:val="28"/>
          <w:szCs w:val="28"/>
        </w:rPr>
      </w:pPr>
      <w:r w:rsidRPr="002531DD">
        <w:rPr>
          <w:sz w:val="28"/>
          <w:szCs w:val="28"/>
        </w:rPr>
        <w:t>1) Общий объём доходов в 2023 году предлагается увеличить на 59 142,0 тыс. рублей, в том числе:</w:t>
      </w:r>
    </w:p>
    <w:p w:rsidR="002531DD" w:rsidRPr="002531DD" w:rsidRDefault="002531DD" w:rsidP="002531DD">
      <w:pPr>
        <w:spacing w:line="276" w:lineRule="auto"/>
        <w:ind w:firstLine="709"/>
        <w:contextualSpacing/>
        <w:jc w:val="both"/>
        <w:rPr>
          <w:sz w:val="28"/>
          <w:szCs w:val="28"/>
        </w:rPr>
      </w:pPr>
      <w:r w:rsidRPr="002531DD">
        <w:rPr>
          <w:sz w:val="28"/>
          <w:szCs w:val="28"/>
        </w:rPr>
        <w:t>за счёт увеличения объема предоставленных из бюджета Московской области межбюджетных трансфертов на 9 045,1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lastRenderedPageBreak/>
        <w:t xml:space="preserve">за счёт увеличения поступлений налоговых и неналоговых доходов на 50 096,9 тыс. рублей (документы, подтверждающие обоснованность внесения данных изменений на экспертизу не представлены).  </w:t>
      </w:r>
    </w:p>
    <w:p w:rsidR="002531DD" w:rsidRPr="002531DD" w:rsidRDefault="002531DD" w:rsidP="002531DD">
      <w:pPr>
        <w:spacing w:line="276" w:lineRule="auto"/>
        <w:ind w:firstLine="709"/>
        <w:contextualSpacing/>
        <w:jc w:val="both"/>
        <w:rPr>
          <w:sz w:val="28"/>
          <w:szCs w:val="28"/>
        </w:rPr>
      </w:pPr>
      <w:r w:rsidRPr="002531DD">
        <w:rPr>
          <w:sz w:val="28"/>
          <w:szCs w:val="28"/>
        </w:rPr>
        <w:t>Общий объём межбюджетных трансфертов, предоставляемых из бюджета Московской области, предлагается скорректировать следующим образом:</w:t>
      </w:r>
    </w:p>
    <w:p w:rsidR="002531DD" w:rsidRPr="002531DD" w:rsidRDefault="002531DD" w:rsidP="002531DD">
      <w:pPr>
        <w:spacing w:line="276" w:lineRule="auto"/>
        <w:ind w:firstLine="709"/>
        <w:contextualSpacing/>
        <w:jc w:val="both"/>
        <w:rPr>
          <w:sz w:val="28"/>
          <w:szCs w:val="28"/>
        </w:rPr>
      </w:pPr>
      <w:r w:rsidRPr="002531DD">
        <w:rPr>
          <w:sz w:val="28"/>
          <w:szCs w:val="28"/>
        </w:rPr>
        <w:t xml:space="preserve">субвенцию </w:t>
      </w:r>
      <w:proofErr w:type="gramStart"/>
      <w:r w:rsidRPr="002531DD">
        <w:rPr>
          <w:sz w:val="28"/>
          <w:szCs w:val="28"/>
        </w:rPr>
        <w:t>на осуществление переданных полномочий Московской области по организации мероприятий при осуществлении деятельности по обращению с собаками</w:t>
      </w:r>
      <w:proofErr w:type="gramEnd"/>
      <w:r w:rsidRPr="002531DD">
        <w:rPr>
          <w:sz w:val="28"/>
          <w:szCs w:val="28"/>
        </w:rPr>
        <w:t xml:space="preserve"> без владельцев уменьшить на 132,0 тыс. рублей (МП «Развитие сельского хозяйства»);</w:t>
      </w:r>
    </w:p>
    <w:p w:rsidR="002531DD" w:rsidRPr="002531DD" w:rsidRDefault="002531DD" w:rsidP="002531DD">
      <w:pPr>
        <w:spacing w:line="276" w:lineRule="auto"/>
        <w:ind w:firstLine="709"/>
        <w:contextualSpacing/>
        <w:jc w:val="both"/>
        <w:rPr>
          <w:sz w:val="28"/>
          <w:szCs w:val="28"/>
        </w:rPr>
      </w:pPr>
      <w:r w:rsidRPr="002531DD">
        <w:rPr>
          <w:sz w:val="28"/>
          <w:szCs w:val="28"/>
        </w:rPr>
        <w:t xml:space="preserve">субвенцию на создание административных комиссий, уполномоченных рассматривать дела об административных правонарушениях в сфере благоустройства увеличить на 724,0 тыс. рублей (МП «Формирование современной комфортной городской среды»);  </w:t>
      </w:r>
    </w:p>
    <w:p w:rsidR="002531DD" w:rsidRPr="002531DD" w:rsidRDefault="002531DD" w:rsidP="002531DD">
      <w:pPr>
        <w:spacing w:line="276" w:lineRule="auto"/>
        <w:ind w:firstLine="709"/>
        <w:contextualSpacing/>
        <w:jc w:val="both"/>
        <w:rPr>
          <w:sz w:val="28"/>
          <w:szCs w:val="28"/>
        </w:rPr>
      </w:pPr>
      <w:r w:rsidRPr="002531DD">
        <w:rPr>
          <w:sz w:val="28"/>
          <w:szCs w:val="28"/>
        </w:rPr>
        <w:t xml:space="preserve">средства субвенции 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 увеличить на 167,0 тыс. рублей (МП «Развитие инженерной инфраструктуры, энергоэффективности и отрасли обращения с отходами»); </w:t>
      </w:r>
    </w:p>
    <w:p w:rsidR="002531DD" w:rsidRPr="002531DD" w:rsidRDefault="002531DD" w:rsidP="002531DD">
      <w:pPr>
        <w:spacing w:line="276" w:lineRule="auto"/>
        <w:ind w:firstLine="709"/>
        <w:contextualSpacing/>
        <w:jc w:val="both"/>
        <w:rPr>
          <w:sz w:val="28"/>
          <w:szCs w:val="28"/>
        </w:rPr>
      </w:pPr>
      <w:r w:rsidRPr="002531DD">
        <w:rPr>
          <w:sz w:val="28"/>
          <w:szCs w:val="28"/>
        </w:rPr>
        <w:t>увеличить объем субсидии, предусмотренной на устройство спортивных и детских площадок на территории муниципальных общеобразовательных организаций, на 13 500,0 тыс. рублей (МП «Образование»);</w:t>
      </w:r>
    </w:p>
    <w:p w:rsidR="002531DD" w:rsidRPr="002531DD" w:rsidRDefault="002531DD" w:rsidP="002531DD">
      <w:pPr>
        <w:spacing w:line="276" w:lineRule="auto"/>
        <w:ind w:firstLine="709"/>
        <w:contextualSpacing/>
        <w:jc w:val="both"/>
        <w:rPr>
          <w:sz w:val="28"/>
          <w:szCs w:val="28"/>
        </w:rPr>
      </w:pPr>
      <w:r w:rsidRPr="002531DD">
        <w:rPr>
          <w:sz w:val="28"/>
          <w:szCs w:val="28"/>
        </w:rPr>
        <w:t>субсидию на обеспечение оснащения муниципальных общеобразовательных организация, в том числе структурных подразделений указанных организаций, государственными символами Российской Федерации уменьшить на 156,8 тыс. рублей (МП «Образование»);</w:t>
      </w:r>
    </w:p>
    <w:p w:rsidR="002531DD" w:rsidRPr="002531DD" w:rsidRDefault="002531DD" w:rsidP="002531DD">
      <w:pPr>
        <w:spacing w:line="276" w:lineRule="auto"/>
        <w:ind w:firstLine="709"/>
        <w:contextualSpacing/>
        <w:jc w:val="both"/>
        <w:rPr>
          <w:sz w:val="28"/>
          <w:szCs w:val="28"/>
        </w:rPr>
      </w:pPr>
      <w:r w:rsidRPr="002531DD">
        <w:rPr>
          <w:sz w:val="28"/>
          <w:szCs w:val="28"/>
        </w:rPr>
        <w:t>уменьшить средства субвенции, запланированной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1,9 тыс. рублей (МП «Развитие институтов гражданского общества, повышение эффективности местного самоуправления и реализации молодежной политики»);</w:t>
      </w:r>
    </w:p>
    <w:p w:rsidR="002531DD" w:rsidRPr="002531DD" w:rsidRDefault="002531DD" w:rsidP="002531DD">
      <w:pPr>
        <w:spacing w:line="276" w:lineRule="auto"/>
        <w:ind w:firstLine="709"/>
        <w:contextualSpacing/>
        <w:jc w:val="both"/>
        <w:rPr>
          <w:sz w:val="28"/>
          <w:szCs w:val="28"/>
        </w:rPr>
      </w:pPr>
      <w:r w:rsidRPr="002531DD">
        <w:rPr>
          <w:sz w:val="28"/>
          <w:szCs w:val="28"/>
        </w:rPr>
        <w:t>субсидию на ремонт подъездов в многоквартирных домах уменьшить на 5 055,2 тыс. рублей (МП «Формирование современной комфортной городской среды»).</w:t>
      </w:r>
    </w:p>
    <w:p w:rsidR="002531DD" w:rsidRPr="002531DD" w:rsidRDefault="002531DD" w:rsidP="002531DD">
      <w:pPr>
        <w:spacing w:line="276" w:lineRule="auto"/>
        <w:ind w:firstLine="709"/>
        <w:contextualSpacing/>
        <w:jc w:val="both"/>
        <w:rPr>
          <w:sz w:val="28"/>
          <w:szCs w:val="28"/>
        </w:rPr>
      </w:pPr>
      <w:r w:rsidRPr="002531DD">
        <w:rPr>
          <w:sz w:val="28"/>
          <w:szCs w:val="28"/>
        </w:rPr>
        <w:t>Общий объем доходов бюджета планового периода 2024 и 2025 годов предлагается уменьшить за счет средств межбюджетных трансфертов, предоставляемых из бюджета Московской области, на 306,0 тыс. рублей ежегодно.</w:t>
      </w:r>
    </w:p>
    <w:p w:rsidR="002531DD" w:rsidRPr="002531DD" w:rsidRDefault="002531DD" w:rsidP="002531DD">
      <w:pPr>
        <w:spacing w:line="276" w:lineRule="auto"/>
        <w:ind w:firstLine="709"/>
        <w:contextualSpacing/>
        <w:jc w:val="both"/>
        <w:rPr>
          <w:sz w:val="28"/>
          <w:szCs w:val="28"/>
        </w:rPr>
      </w:pPr>
      <w:r w:rsidRPr="002531DD">
        <w:rPr>
          <w:sz w:val="28"/>
          <w:szCs w:val="28"/>
        </w:rPr>
        <w:t xml:space="preserve">2) Общий объем расходов бюджета в 2023 году предлагается увеличить на объем поступлений средств межбюджетных трансфертов в размере 9 045,1 тыс. рублей, а также поступлений налоговых и неналоговых доходов в сумме 50 096,9 </w:t>
      </w:r>
      <w:r w:rsidRPr="002531DD">
        <w:rPr>
          <w:sz w:val="28"/>
          <w:szCs w:val="28"/>
        </w:rPr>
        <w:lastRenderedPageBreak/>
        <w:t>тыс. рублей, и направить их на реализацию следующих муниципальных программам и непрограммных расходов:</w:t>
      </w:r>
    </w:p>
    <w:p w:rsidR="002531DD" w:rsidRPr="002531DD" w:rsidRDefault="002531DD" w:rsidP="002531DD">
      <w:pPr>
        <w:spacing w:line="276" w:lineRule="auto"/>
        <w:ind w:firstLine="709"/>
        <w:contextualSpacing/>
        <w:jc w:val="both"/>
        <w:rPr>
          <w:sz w:val="28"/>
          <w:szCs w:val="28"/>
        </w:rPr>
      </w:pPr>
      <w:r w:rsidRPr="002531DD">
        <w:rPr>
          <w:sz w:val="28"/>
          <w:szCs w:val="28"/>
        </w:rPr>
        <w:t>МП «Культура и туризм» - 3 940,0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МП «Образование» - 21 1</w:t>
      </w:r>
      <w:r w:rsidR="001D02C2">
        <w:rPr>
          <w:sz w:val="28"/>
          <w:szCs w:val="28"/>
        </w:rPr>
        <w:t>09</w:t>
      </w:r>
      <w:r w:rsidRPr="002531DD">
        <w:rPr>
          <w:sz w:val="28"/>
          <w:szCs w:val="28"/>
        </w:rPr>
        <w:t>,2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МП «Развитие и функционирование дорожно-транспортного комплекса» -          700,0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МП «Формирование современной комфортной городской среды» - 1 368,8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МП «Развитие инженерной инфраструктуры, энергоэффективности и отрасли обращения с отходами» - 7 412,0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МП «Развитие институтов гражданского общества, повышение эффективности местного самоуправления и реализации молодежной политики» - 598,1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 xml:space="preserve">МП «Управление имуществом и муниципальными финансами» - 12 607,6 тыс. рублей;  </w:t>
      </w:r>
    </w:p>
    <w:p w:rsidR="002531DD" w:rsidRPr="002531DD" w:rsidRDefault="002531DD" w:rsidP="002531DD">
      <w:pPr>
        <w:spacing w:line="276" w:lineRule="auto"/>
        <w:ind w:firstLine="709"/>
        <w:contextualSpacing/>
        <w:jc w:val="both"/>
        <w:rPr>
          <w:sz w:val="28"/>
          <w:szCs w:val="28"/>
        </w:rPr>
      </w:pPr>
      <w:r w:rsidRPr="002531DD">
        <w:rPr>
          <w:sz w:val="28"/>
          <w:szCs w:val="28"/>
        </w:rPr>
        <w:t>МП «Цифровое муниципальное образование» - 560,0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Непрограммные расходы - 10 97</w:t>
      </w:r>
      <w:r w:rsidR="001D02C2">
        <w:rPr>
          <w:sz w:val="28"/>
          <w:szCs w:val="28"/>
        </w:rPr>
        <w:t>8</w:t>
      </w:r>
      <w:bookmarkStart w:id="0" w:name="_GoBack"/>
      <w:bookmarkEnd w:id="0"/>
      <w:r w:rsidRPr="002531DD">
        <w:rPr>
          <w:sz w:val="28"/>
          <w:szCs w:val="28"/>
        </w:rPr>
        <w:t xml:space="preserve">,3 тыс. рублей. </w:t>
      </w:r>
    </w:p>
    <w:p w:rsidR="002531DD" w:rsidRPr="002531DD" w:rsidRDefault="002531DD" w:rsidP="002531DD">
      <w:pPr>
        <w:spacing w:line="276" w:lineRule="auto"/>
        <w:ind w:firstLine="709"/>
        <w:contextualSpacing/>
        <w:jc w:val="both"/>
        <w:rPr>
          <w:sz w:val="28"/>
          <w:szCs w:val="28"/>
        </w:rPr>
      </w:pPr>
      <w:r w:rsidRPr="002531DD">
        <w:rPr>
          <w:sz w:val="28"/>
          <w:szCs w:val="28"/>
        </w:rPr>
        <w:t>За счет сокращения объема предоставляемых из бюджета Московской области межбюджетных трансфертов проектом предлагается уменьшить финансовое обеспечение МП «Развитие сельского хозяйства» в 2023 году на 132,0 тыс. рублей.</w:t>
      </w:r>
    </w:p>
    <w:p w:rsidR="002531DD" w:rsidRPr="002531DD" w:rsidRDefault="002531DD" w:rsidP="002531DD">
      <w:pPr>
        <w:spacing w:line="276" w:lineRule="auto"/>
        <w:ind w:firstLine="709"/>
        <w:contextualSpacing/>
        <w:jc w:val="both"/>
        <w:rPr>
          <w:sz w:val="28"/>
          <w:szCs w:val="28"/>
        </w:rPr>
      </w:pPr>
      <w:r w:rsidRPr="002531DD">
        <w:rPr>
          <w:sz w:val="28"/>
          <w:szCs w:val="28"/>
        </w:rPr>
        <w:t>Также, за счет сокращения средств межбюджетных трансфертов общий объем расходов планового периода 2024 и 2025 годов предлагается уменьшить на 306,0 тыс. рублей ежегодно (МП «Развитие сельского хозяйства»).</w:t>
      </w:r>
    </w:p>
    <w:p w:rsidR="002531DD" w:rsidRPr="002531DD" w:rsidRDefault="002531DD" w:rsidP="002531DD">
      <w:pPr>
        <w:spacing w:line="276" w:lineRule="auto"/>
        <w:ind w:firstLine="709"/>
        <w:contextualSpacing/>
        <w:jc w:val="both"/>
        <w:rPr>
          <w:sz w:val="28"/>
          <w:szCs w:val="28"/>
        </w:rPr>
      </w:pPr>
      <w:r w:rsidRPr="002531DD">
        <w:rPr>
          <w:sz w:val="28"/>
          <w:szCs w:val="28"/>
        </w:rPr>
        <w:t>Проект решения Совета депутатов городского округа Лыткарино «О внесении изменений и дополнений в решение Совета депутатов городского округа Лыткарино «Об утверждении бюджета городского округа Лыткарино на 2023 год и на плановый период 2024 и 2025 годов» предлагает внести соответствующие изменения в Приложения утвержденного бюджета городского округа.</w:t>
      </w:r>
    </w:p>
    <w:p w:rsidR="00CC7783" w:rsidRPr="00CC7783" w:rsidRDefault="002531DD" w:rsidP="002531DD">
      <w:pPr>
        <w:spacing w:line="276" w:lineRule="auto"/>
        <w:ind w:firstLine="709"/>
        <w:contextualSpacing/>
        <w:jc w:val="both"/>
        <w:rPr>
          <w:sz w:val="28"/>
          <w:szCs w:val="28"/>
        </w:rPr>
      </w:pPr>
      <w:r w:rsidRPr="002531DD">
        <w:rPr>
          <w:sz w:val="28"/>
          <w:szCs w:val="28"/>
        </w:rPr>
        <w:t>Изменения, вносимые в решение Совета депутатов городского округа Лыткарино «Об утверждении бюджета городского округа Лыткарино на 2023 год и на плановый период 2024 и 2025 годов», не противоречат требованиям бюджетного законодательства и рекомендованы для рассмотрения.</w:t>
      </w:r>
    </w:p>
    <w:p w:rsidR="009C6283" w:rsidRDefault="009C6283" w:rsidP="000224AF">
      <w:pPr>
        <w:spacing w:line="276" w:lineRule="auto"/>
        <w:ind w:firstLine="709"/>
        <w:jc w:val="both"/>
        <w:rPr>
          <w:sz w:val="28"/>
          <w:szCs w:val="28"/>
        </w:rPr>
      </w:pPr>
      <w:r>
        <w:rPr>
          <w:sz w:val="28"/>
          <w:szCs w:val="28"/>
        </w:rPr>
        <w:t>Э</w:t>
      </w:r>
      <w:r w:rsidRPr="00AE7149">
        <w:rPr>
          <w:sz w:val="28"/>
          <w:szCs w:val="28"/>
        </w:rPr>
        <w:t xml:space="preserve">кспертиза проведена в установленные сроки </w:t>
      </w:r>
      <w:r>
        <w:rPr>
          <w:sz w:val="28"/>
          <w:szCs w:val="28"/>
        </w:rPr>
        <w:t>и подготовлено заключение № </w:t>
      </w:r>
      <w:r w:rsidR="002531DD">
        <w:rPr>
          <w:sz w:val="28"/>
          <w:szCs w:val="28"/>
        </w:rPr>
        <w:t>53</w:t>
      </w:r>
      <w:r>
        <w:rPr>
          <w:sz w:val="28"/>
          <w:szCs w:val="28"/>
        </w:rPr>
        <w:t xml:space="preserve"> от </w:t>
      </w:r>
      <w:r w:rsidR="00CC7783">
        <w:rPr>
          <w:sz w:val="28"/>
          <w:szCs w:val="28"/>
        </w:rPr>
        <w:t>2</w:t>
      </w:r>
      <w:r w:rsidR="002531DD">
        <w:rPr>
          <w:sz w:val="28"/>
          <w:szCs w:val="28"/>
        </w:rPr>
        <w:t>7</w:t>
      </w:r>
      <w:r w:rsidR="00295D03">
        <w:rPr>
          <w:sz w:val="28"/>
          <w:szCs w:val="28"/>
        </w:rPr>
        <w:t>.0</w:t>
      </w:r>
      <w:r w:rsidR="002531DD">
        <w:rPr>
          <w:sz w:val="28"/>
          <w:szCs w:val="28"/>
        </w:rPr>
        <w:t>7</w:t>
      </w:r>
      <w:r>
        <w:rPr>
          <w:sz w:val="28"/>
          <w:szCs w:val="28"/>
        </w:rPr>
        <w:t>.2023.</w:t>
      </w:r>
    </w:p>
    <w:p w:rsidR="00136AFE" w:rsidRDefault="00136AFE" w:rsidP="00220472">
      <w:pPr>
        <w:pStyle w:val="Default"/>
        <w:spacing w:line="276" w:lineRule="auto"/>
        <w:rPr>
          <w:sz w:val="28"/>
          <w:szCs w:val="28"/>
        </w:rPr>
      </w:pPr>
    </w:p>
    <w:sectPr w:rsidR="00136AFE" w:rsidSect="002204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6C22"/>
    <w:multiLevelType w:val="hybridMultilevel"/>
    <w:tmpl w:val="425AF38C"/>
    <w:lvl w:ilvl="0" w:tplc="EA9C1E8C">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
    <w:nsid w:val="39217660"/>
    <w:multiLevelType w:val="hybridMultilevel"/>
    <w:tmpl w:val="CDF0F93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
    <w:nsid w:val="3FD478BF"/>
    <w:multiLevelType w:val="hybridMultilevel"/>
    <w:tmpl w:val="30FEFFE0"/>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8C23D6"/>
    <w:multiLevelType w:val="hybridMultilevel"/>
    <w:tmpl w:val="D87CC10C"/>
    <w:lvl w:ilvl="0" w:tplc="7FAAFF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7"/>
    <w:rsid w:val="000224AF"/>
    <w:rsid w:val="000415E4"/>
    <w:rsid w:val="000457E3"/>
    <w:rsid w:val="00065C15"/>
    <w:rsid w:val="00067C3B"/>
    <w:rsid w:val="00082FC4"/>
    <w:rsid w:val="000B38EF"/>
    <w:rsid w:val="000D27FC"/>
    <w:rsid w:val="00136AFE"/>
    <w:rsid w:val="00136E72"/>
    <w:rsid w:val="00137907"/>
    <w:rsid w:val="001535A5"/>
    <w:rsid w:val="00153D53"/>
    <w:rsid w:val="00163D99"/>
    <w:rsid w:val="00166B57"/>
    <w:rsid w:val="001733EB"/>
    <w:rsid w:val="00174EAF"/>
    <w:rsid w:val="001D02C2"/>
    <w:rsid w:val="001D7320"/>
    <w:rsid w:val="001E1118"/>
    <w:rsid w:val="002006F1"/>
    <w:rsid w:val="0020300A"/>
    <w:rsid w:val="00220472"/>
    <w:rsid w:val="00226131"/>
    <w:rsid w:val="002531DD"/>
    <w:rsid w:val="00285CBF"/>
    <w:rsid w:val="00287D90"/>
    <w:rsid w:val="00295D03"/>
    <w:rsid w:val="002A189A"/>
    <w:rsid w:val="002C0AF8"/>
    <w:rsid w:val="002E5BCF"/>
    <w:rsid w:val="00356A0C"/>
    <w:rsid w:val="00395BA8"/>
    <w:rsid w:val="003A10CD"/>
    <w:rsid w:val="003B740E"/>
    <w:rsid w:val="003C7B05"/>
    <w:rsid w:val="004233D9"/>
    <w:rsid w:val="00441F36"/>
    <w:rsid w:val="0044798A"/>
    <w:rsid w:val="0046744B"/>
    <w:rsid w:val="004E3C06"/>
    <w:rsid w:val="00517382"/>
    <w:rsid w:val="00532DEE"/>
    <w:rsid w:val="00552C45"/>
    <w:rsid w:val="00554883"/>
    <w:rsid w:val="00604D94"/>
    <w:rsid w:val="00623C51"/>
    <w:rsid w:val="006742FB"/>
    <w:rsid w:val="006D26DD"/>
    <w:rsid w:val="00702ED9"/>
    <w:rsid w:val="0072622F"/>
    <w:rsid w:val="00737C08"/>
    <w:rsid w:val="00764FFF"/>
    <w:rsid w:val="00766B23"/>
    <w:rsid w:val="00786BF7"/>
    <w:rsid w:val="007B74CA"/>
    <w:rsid w:val="007C221D"/>
    <w:rsid w:val="0080327F"/>
    <w:rsid w:val="00824B00"/>
    <w:rsid w:val="0082597B"/>
    <w:rsid w:val="00850243"/>
    <w:rsid w:val="008A09FD"/>
    <w:rsid w:val="008C2DBB"/>
    <w:rsid w:val="008C38A3"/>
    <w:rsid w:val="008C7E43"/>
    <w:rsid w:val="008D3351"/>
    <w:rsid w:val="0090089C"/>
    <w:rsid w:val="00902C15"/>
    <w:rsid w:val="009404CB"/>
    <w:rsid w:val="00955458"/>
    <w:rsid w:val="00956F55"/>
    <w:rsid w:val="00982785"/>
    <w:rsid w:val="009B5B3E"/>
    <w:rsid w:val="009B7189"/>
    <w:rsid w:val="009C2908"/>
    <w:rsid w:val="009C6283"/>
    <w:rsid w:val="009D3F49"/>
    <w:rsid w:val="009F0449"/>
    <w:rsid w:val="009F68BE"/>
    <w:rsid w:val="00A4061C"/>
    <w:rsid w:val="00A47F11"/>
    <w:rsid w:val="00A71EC7"/>
    <w:rsid w:val="00A72D55"/>
    <w:rsid w:val="00A8484B"/>
    <w:rsid w:val="00A8717E"/>
    <w:rsid w:val="00AB0761"/>
    <w:rsid w:val="00AF1985"/>
    <w:rsid w:val="00B03872"/>
    <w:rsid w:val="00B47171"/>
    <w:rsid w:val="00B80FCB"/>
    <w:rsid w:val="00B840C4"/>
    <w:rsid w:val="00B85398"/>
    <w:rsid w:val="00BB657D"/>
    <w:rsid w:val="00BE5D7D"/>
    <w:rsid w:val="00C0777D"/>
    <w:rsid w:val="00C21A5A"/>
    <w:rsid w:val="00C72C53"/>
    <w:rsid w:val="00C761F9"/>
    <w:rsid w:val="00C95382"/>
    <w:rsid w:val="00CC7783"/>
    <w:rsid w:val="00CF3F9C"/>
    <w:rsid w:val="00D11C85"/>
    <w:rsid w:val="00D129C2"/>
    <w:rsid w:val="00D22CF9"/>
    <w:rsid w:val="00D541F4"/>
    <w:rsid w:val="00D77AE9"/>
    <w:rsid w:val="00DB3AD9"/>
    <w:rsid w:val="00DE3715"/>
    <w:rsid w:val="00E36EEF"/>
    <w:rsid w:val="00E85E8E"/>
    <w:rsid w:val="00E914B5"/>
    <w:rsid w:val="00E9582D"/>
    <w:rsid w:val="00EC4ED3"/>
    <w:rsid w:val="00ED78C8"/>
    <w:rsid w:val="00EE40CF"/>
    <w:rsid w:val="00EF607F"/>
    <w:rsid w:val="00F16668"/>
    <w:rsid w:val="00F440AA"/>
    <w:rsid w:val="00F82C6E"/>
    <w:rsid w:val="00F971A6"/>
    <w:rsid w:val="00FB3C9A"/>
    <w:rsid w:val="00FC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A189A"/>
    <w:rPr>
      <w:rFonts w:ascii="Segoe UI" w:hAnsi="Segoe UI" w:cs="Segoe UI"/>
      <w:sz w:val="18"/>
      <w:szCs w:val="18"/>
    </w:rPr>
  </w:style>
  <w:style w:type="character" w:customStyle="1" w:styleId="a7">
    <w:name w:val="Текст выноски Знак"/>
    <w:basedOn w:val="a0"/>
    <w:link w:val="a6"/>
    <w:uiPriority w:val="99"/>
    <w:semiHidden/>
    <w:rsid w:val="002A189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A189A"/>
    <w:rPr>
      <w:rFonts w:ascii="Segoe UI" w:hAnsi="Segoe UI" w:cs="Segoe UI"/>
      <w:sz w:val="18"/>
      <w:szCs w:val="18"/>
    </w:rPr>
  </w:style>
  <w:style w:type="character" w:customStyle="1" w:styleId="a7">
    <w:name w:val="Текст выноски Знак"/>
    <w:basedOn w:val="a0"/>
    <w:link w:val="a6"/>
    <w:uiPriority w:val="99"/>
    <w:semiHidden/>
    <w:rsid w:val="002A18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9ED6-2EC3-4A04-B54D-8C9CF88C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2023-07-27T09:03:00Z</cp:lastPrinted>
  <dcterms:created xsi:type="dcterms:W3CDTF">2023-02-07T14:58:00Z</dcterms:created>
  <dcterms:modified xsi:type="dcterms:W3CDTF">2023-07-27T09:48:00Z</dcterms:modified>
</cp:coreProperties>
</file>