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7CA7" w14:textId="77777777" w:rsidR="00711B81" w:rsidRPr="0063548D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8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2292E577" w14:textId="77777777" w:rsidR="00711B81" w:rsidRPr="0063548D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8D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14:paraId="7879D50D" w14:textId="2ECD5773" w:rsidR="00711B81" w:rsidRPr="0063548D" w:rsidRDefault="00F26C1B" w:rsidP="0071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8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1B81" w:rsidRPr="00635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A6" w:rsidRPr="000423A6">
        <w:rPr>
          <w:rFonts w:ascii="Times New Roman" w:hAnsi="Times New Roman" w:cs="Times New Roman"/>
          <w:bCs/>
          <w:sz w:val="28"/>
          <w:szCs w:val="28"/>
        </w:rPr>
        <w:t>Лыткарино</w:t>
      </w:r>
      <w:r w:rsidR="000423A6">
        <w:rPr>
          <w:rFonts w:ascii="Times New Roman" w:hAnsi="Times New Roman" w:cs="Times New Roman"/>
          <w:b/>
          <w:sz w:val="28"/>
          <w:szCs w:val="28"/>
        </w:rPr>
        <w:t xml:space="preserve"> Головановой А.В.</w:t>
      </w:r>
    </w:p>
    <w:p w14:paraId="74EF5738" w14:textId="48D7F609" w:rsidR="00711B81" w:rsidRPr="0063548D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8D">
        <w:rPr>
          <w:rFonts w:ascii="Times New Roman" w:hAnsi="Times New Roman" w:cs="Times New Roman"/>
          <w:sz w:val="28"/>
          <w:szCs w:val="28"/>
        </w:rPr>
        <w:t xml:space="preserve">к публичным слушаниям по вопросу «Отчет об исполнении бюджета </w:t>
      </w:r>
      <w:r w:rsidR="00CB465C" w:rsidRPr="0063548D">
        <w:rPr>
          <w:rFonts w:ascii="Times New Roman" w:hAnsi="Times New Roman" w:cs="Times New Roman"/>
          <w:sz w:val="28"/>
          <w:szCs w:val="28"/>
        </w:rPr>
        <w:t>городского</w:t>
      </w:r>
      <w:r w:rsidRPr="0063548D">
        <w:rPr>
          <w:rFonts w:ascii="Times New Roman" w:hAnsi="Times New Roman" w:cs="Times New Roman"/>
          <w:sz w:val="28"/>
          <w:szCs w:val="28"/>
        </w:rPr>
        <w:t xml:space="preserve"> </w:t>
      </w:r>
      <w:r w:rsidR="00CB465C" w:rsidRPr="0063548D">
        <w:rPr>
          <w:rFonts w:ascii="Times New Roman" w:hAnsi="Times New Roman" w:cs="Times New Roman"/>
          <w:sz w:val="28"/>
          <w:szCs w:val="28"/>
        </w:rPr>
        <w:t>округа</w:t>
      </w:r>
      <w:r w:rsidRPr="0063548D">
        <w:rPr>
          <w:rFonts w:ascii="Times New Roman" w:hAnsi="Times New Roman" w:cs="Times New Roman"/>
          <w:sz w:val="28"/>
          <w:szCs w:val="28"/>
        </w:rPr>
        <w:t xml:space="preserve"> </w:t>
      </w:r>
      <w:r w:rsidR="000423A6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Pr="0063548D">
        <w:rPr>
          <w:rFonts w:ascii="Times New Roman" w:hAnsi="Times New Roman" w:cs="Times New Roman"/>
          <w:sz w:val="28"/>
          <w:szCs w:val="28"/>
        </w:rPr>
        <w:t xml:space="preserve">за </w:t>
      </w:r>
      <w:r w:rsidR="00BA208F" w:rsidRPr="0063548D">
        <w:rPr>
          <w:rFonts w:ascii="Times New Roman" w:hAnsi="Times New Roman" w:cs="Times New Roman"/>
          <w:sz w:val="28"/>
          <w:szCs w:val="28"/>
        </w:rPr>
        <w:t>2023</w:t>
      </w:r>
      <w:r w:rsidRPr="0063548D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1CF1F728" w14:textId="77777777" w:rsidR="00711B81" w:rsidRPr="0063548D" w:rsidRDefault="00711B81" w:rsidP="007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37E18" w14:textId="14162BED" w:rsidR="00711B81" w:rsidRDefault="00054D3E" w:rsidP="001E031A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4D3E">
        <w:rPr>
          <w:rFonts w:ascii="Times New Roman" w:hAnsi="Times New Roman" w:cs="Times New Roman"/>
          <w:sz w:val="28"/>
          <w:szCs w:val="28"/>
        </w:rPr>
        <w:t>соответствии со ст. 264.4. Бюджетного кодекса Российской Федерации, Положением о бюджетном процессе в городском округе Лыткарино Московской области, Положением об организации деятельности Контрольно-счетной палаты городского округа Лыткарино, Стандартом внешнего муниципального финансового контроля «Последующий контроль за исполнением бюджета городского округа Лыткарино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4D3E">
        <w:rPr>
          <w:rFonts w:ascii="Times New Roman" w:hAnsi="Times New Roman" w:cs="Times New Roman"/>
          <w:sz w:val="28"/>
          <w:szCs w:val="28"/>
        </w:rPr>
        <w:t>планом работы на 2024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F26C1B" w:rsidRPr="000423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621A4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621A4">
        <w:rPr>
          <w:rFonts w:ascii="Times New Roman" w:hAnsi="Times New Roman" w:cs="Times New Roman"/>
          <w:sz w:val="28"/>
          <w:szCs w:val="28"/>
        </w:rPr>
        <w:t>г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одового отчета об исполнении бюджета </w:t>
      </w:r>
      <w:r w:rsidR="00CB465C" w:rsidRPr="000423A6">
        <w:rPr>
          <w:rFonts w:ascii="Times New Roman" w:hAnsi="Times New Roman" w:cs="Times New Roman"/>
          <w:sz w:val="28"/>
          <w:szCs w:val="28"/>
        </w:rPr>
        <w:t>городского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 </w:t>
      </w:r>
      <w:r w:rsidR="00CB465C" w:rsidRPr="000423A6">
        <w:rPr>
          <w:rFonts w:ascii="Times New Roman" w:hAnsi="Times New Roman" w:cs="Times New Roman"/>
          <w:sz w:val="28"/>
          <w:szCs w:val="28"/>
        </w:rPr>
        <w:t>округа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за </w:t>
      </w:r>
      <w:r w:rsidR="00BA208F" w:rsidRPr="000423A6">
        <w:rPr>
          <w:rFonts w:ascii="Times New Roman" w:hAnsi="Times New Roman" w:cs="Times New Roman"/>
          <w:sz w:val="28"/>
          <w:szCs w:val="28"/>
        </w:rPr>
        <w:t>2023</w:t>
      </w:r>
      <w:r w:rsidR="00711B81" w:rsidRPr="000423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EAC1D" w14:textId="27737CD1" w:rsidR="00054D3E" w:rsidRDefault="00054D3E" w:rsidP="001E031A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отчет об исполнении бюджета городского округа Лыткарино за 2023 год, а также представленные одновременно с ним иные формы бюджетной отчетности представлены в </w:t>
      </w:r>
      <w:bookmarkStart w:id="0" w:name="_Hlk164775760"/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Контрольно-счетную палату городского округа Лыткарино</w:t>
      </w:r>
      <w:bookmarkEnd w:id="0"/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ст.46 Положения о бюджете и бюджетном </w:t>
      </w:r>
      <w:proofErr w:type="gramStart"/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  (</w:t>
      </w:r>
      <w:proofErr w:type="gramEnd"/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01 апреля).</w:t>
      </w:r>
    </w:p>
    <w:p w14:paraId="537FC4A4" w14:textId="3C8F003A" w:rsidR="00054D3E" w:rsidRDefault="00054D3E" w:rsidP="001E031A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заключения на отчет об исполнении бюджета городского округа Лыткарино за 2023 год </w:t>
      </w:r>
      <w:r w:rsid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осуществлялась с использованием результатов внешних проверок </w:t>
      </w:r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бюджетной отчетности 7 главных администраторов бюджетных средств</w:t>
      </w:r>
      <w:r w:rsid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проведенных </w:t>
      </w:r>
      <w:bookmarkStart w:id="1" w:name="_Hlk164776719"/>
      <w:r w:rsidR="009A7F1C"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</w:t>
      </w:r>
      <w:r w:rsid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A7F1C"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A7F1C"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="009A7F1C"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Лыткарино</w:t>
      </w:r>
      <w:r w:rsidRPr="0005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C7D034" w14:textId="1B9B9F6D" w:rsidR="009A7F1C" w:rsidRDefault="009A7F1C" w:rsidP="001E031A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об исполнении бюджета городского округа Лыткарино за 2023 год, а также представленные одновременно с ним иные формы бюджетной отчётности по составу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A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содержанию и полноте отражения информации соответствуют требованиям Положения о бюджете и бюджетном процессе,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 №191н.</w:t>
      </w:r>
    </w:p>
    <w:p w14:paraId="744719D9" w14:textId="669E0062" w:rsidR="00054D3E" w:rsidRDefault="009A7F1C" w:rsidP="001E031A">
      <w:pPr>
        <w:pStyle w:val="ConsPlusNormal"/>
        <w:spacing w:before="240" w:line="276" w:lineRule="auto"/>
        <w:ind w:firstLine="720"/>
        <w:jc w:val="both"/>
      </w:pPr>
      <w:r w:rsidRPr="009A7F1C">
        <w:t xml:space="preserve">Отчёт </w:t>
      </w:r>
      <w:bookmarkStart w:id="2" w:name="_Hlk164776329"/>
      <w:r w:rsidRPr="009A7F1C">
        <w:t>об исполнении бюджета городского округа Лыткарино за 2023 год</w:t>
      </w:r>
      <w:r>
        <w:t xml:space="preserve"> </w:t>
      </w:r>
      <w:bookmarkEnd w:id="2"/>
      <w:r>
        <w:t>составлен в соответствии со структурой и кодами бюджетной классификации, которые применялись при утверждении бюджета на 2023 год.</w:t>
      </w:r>
    </w:p>
    <w:p w14:paraId="44FDC924" w14:textId="08EBF86F" w:rsidR="009A7F1C" w:rsidRDefault="009A7F1C" w:rsidP="001E031A">
      <w:pPr>
        <w:pStyle w:val="ConsPlusNormal"/>
        <w:spacing w:before="240" w:line="276" w:lineRule="auto"/>
        <w:ind w:firstLine="720"/>
        <w:jc w:val="both"/>
      </w:pPr>
      <w:r>
        <w:t xml:space="preserve">Показатели, отраженные в годовом отчете </w:t>
      </w:r>
      <w:r w:rsidRPr="009A7F1C">
        <w:t>об исполнении бюджета городского округа Лыткарино</w:t>
      </w:r>
      <w:r>
        <w:t xml:space="preserve">, соответствуют показателям, утвержденным решением о бюджете </w:t>
      </w:r>
      <w:r w:rsidRPr="009A7F1C">
        <w:t xml:space="preserve">городского округа Лыткарино </w:t>
      </w:r>
      <w:r>
        <w:t>и сводной бюджетной росписи.</w:t>
      </w:r>
    </w:p>
    <w:p w14:paraId="7EFE1691" w14:textId="25752FC9" w:rsidR="00DA706B" w:rsidRDefault="00DA706B" w:rsidP="001E031A">
      <w:pPr>
        <w:pStyle w:val="ConsPlusNormal"/>
        <w:spacing w:before="240" w:line="276" w:lineRule="auto"/>
        <w:ind w:firstLine="720"/>
        <w:jc w:val="both"/>
      </w:pPr>
      <w:r>
        <w:lastRenderedPageBreak/>
        <w:t xml:space="preserve">Годовой отчет </w:t>
      </w:r>
      <w:r w:rsidRPr="00DA706B">
        <w:t>об исполнении бюджета городского округа Лыткарино за 2023 год</w:t>
      </w:r>
      <w:r>
        <w:t xml:space="preserve"> в части показателей исполнения бюджета городского округа Лыткарино составлен на основании бюджетной отчетности главных администраторов средств бюджета за 2023 год, что соответствует п.2 ст. 264.2  </w:t>
      </w:r>
      <w:r w:rsidRPr="00DA706B">
        <w:t>Бюджетного кодекса Российской Федерации</w:t>
      </w:r>
      <w:r>
        <w:t>.</w:t>
      </w:r>
    </w:p>
    <w:p w14:paraId="10BFFF1B" w14:textId="0B2941A8" w:rsidR="008B1A96" w:rsidRDefault="00441F34" w:rsidP="001E031A">
      <w:pPr>
        <w:pStyle w:val="ConsPlusNormal"/>
        <w:spacing w:before="240" w:line="276" w:lineRule="auto"/>
        <w:ind w:firstLine="720"/>
        <w:jc w:val="both"/>
      </w:pPr>
      <w:r w:rsidRPr="00441F34">
        <w:t>Вместе с тем, в ходе внешн</w:t>
      </w:r>
      <w:r w:rsidR="00FC3BBA">
        <w:t>их</w:t>
      </w:r>
      <w:r w:rsidRPr="00441F34">
        <w:t xml:space="preserve"> провер</w:t>
      </w:r>
      <w:r w:rsidR="00FC3BBA">
        <w:t>ок</w:t>
      </w:r>
      <w:r w:rsidRPr="00441F34">
        <w:t xml:space="preserve"> бюджетной отчётности главных администраторов средств бюджета городского округа Лыткарино за 2023 год, проведённ</w:t>
      </w:r>
      <w:r w:rsidR="00FC3BBA">
        <w:t>ых</w:t>
      </w:r>
      <w:r w:rsidRPr="00441F34">
        <w:t xml:space="preserve"> Контрольно-счетной палатой городского округа Лыткарино</w:t>
      </w:r>
      <w:r w:rsidR="00FC3BBA">
        <w:t xml:space="preserve"> в форме контрольных мероприятий</w:t>
      </w:r>
      <w:r w:rsidRPr="00441F34">
        <w:t>, выявлены отдельные факты нарушений</w:t>
      </w:r>
      <w:r>
        <w:t xml:space="preserve"> и недостатков, в том числе порядк</w:t>
      </w:r>
      <w:r w:rsidR="002D0738">
        <w:t>ов исполнения бюджета,</w:t>
      </w:r>
      <w:r w:rsidRPr="00441F34">
        <w:t xml:space="preserve"> ведения бухгалтерского учета</w:t>
      </w:r>
      <w:r w:rsidR="008B1A96">
        <w:t xml:space="preserve">, </w:t>
      </w:r>
      <w:r w:rsidRPr="00441F34">
        <w:t>и</w:t>
      </w:r>
      <w:r w:rsidR="008B1A96">
        <w:t xml:space="preserve"> в части</w:t>
      </w:r>
      <w:r w:rsidRPr="00441F34">
        <w:t xml:space="preserve"> </w:t>
      </w:r>
      <w:r>
        <w:t>несоблюдения требований отдельных пунктов Инструкции №191н,</w:t>
      </w:r>
      <w:r w:rsidRPr="00441F34">
        <w:t xml:space="preserve"> не оказавшие влияния на основные показатели кассового исполнения бюджета городского округа Лыткарино за 2023 год. </w:t>
      </w:r>
    </w:p>
    <w:p w14:paraId="6B529572" w14:textId="43BF4C99" w:rsidR="00FC3BBA" w:rsidRPr="00FC3BBA" w:rsidRDefault="00FC3BBA" w:rsidP="001E031A">
      <w:pPr>
        <w:pStyle w:val="ConsPlusNormal"/>
        <w:spacing w:line="276" w:lineRule="auto"/>
        <w:ind w:firstLine="720"/>
        <w:jc w:val="both"/>
        <w:rPr>
          <w:rFonts w:eastAsia="Calibri"/>
        </w:rPr>
      </w:pPr>
      <w:r w:rsidRPr="00FC3BBA">
        <w:rPr>
          <w:rFonts w:eastAsia="Calibri"/>
        </w:rPr>
        <w:t>В рамках контрольных мероприятий было выявлено 32 нарушения, в том числе 7 нарушений финансового характера (</w:t>
      </w:r>
      <w:r>
        <w:rPr>
          <w:rFonts w:eastAsia="Calibri"/>
        </w:rPr>
        <w:t xml:space="preserve">на общую сумму </w:t>
      </w:r>
      <w:r w:rsidRPr="00FC3BBA">
        <w:rPr>
          <w:rFonts w:eastAsia="Calibri"/>
        </w:rPr>
        <w:t>1 967,65 тыс. рублей)</w:t>
      </w:r>
      <w:r>
        <w:rPr>
          <w:rFonts w:eastAsia="Calibri"/>
        </w:rPr>
        <w:t>:</w:t>
      </w:r>
    </w:p>
    <w:p w14:paraId="51E8AA14" w14:textId="1D07F9FF" w:rsidR="00FC3BBA" w:rsidRPr="00FC3BBA" w:rsidRDefault="00FC3BBA" w:rsidP="001E031A">
      <w:pPr>
        <w:pStyle w:val="ConsPlusNormal"/>
        <w:spacing w:line="276" w:lineRule="auto"/>
        <w:ind w:firstLine="426"/>
        <w:jc w:val="both"/>
        <w:rPr>
          <w:rFonts w:eastAsia="Calibri"/>
        </w:rPr>
      </w:pPr>
      <w:r w:rsidRPr="00FC3BBA">
        <w:rPr>
          <w:rFonts w:eastAsia="Calibri"/>
        </w:rPr>
        <w:t>1.</w:t>
      </w:r>
      <w:r w:rsidRPr="00FC3BBA">
        <w:rPr>
          <w:rFonts w:eastAsia="Calibri"/>
        </w:rPr>
        <w:tab/>
        <w:t>Нарушения при формировании и исполнении бюджета – установлено 8 нарушений у 6 главных администраторов средств бюджета г.о. Лыткарино (из них 4 финансовых нарушений на сумму 734,57 тыс. рублей у 4 ГАБС</w:t>
      </w:r>
      <w:r>
        <w:rPr>
          <w:rFonts w:eastAsia="Calibri"/>
        </w:rPr>
        <w:t>).</w:t>
      </w:r>
    </w:p>
    <w:p w14:paraId="11BDD616" w14:textId="001050F6" w:rsidR="00FC3BBA" w:rsidRPr="00FC3BBA" w:rsidRDefault="00FC3BBA" w:rsidP="001E031A">
      <w:pPr>
        <w:pStyle w:val="ConsPlusNormal"/>
        <w:spacing w:line="276" w:lineRule="auto"/>
        <w:ind w:firstLine="426"/>
        <w:jc w:val="both"/>
        <w:rPr>
          <w:rFonts w:eastAsia="Calibri"/>
        </w:rPr>
      </w:pPr>
      <w:r w:rsidRPr="00FC3BBA">
        <w:rPr>
          <w:rFonts w:eastAsia="Calibri"/>
        </w:rPr>
        <w:t>2.</w:t>
      </w:r>
      <w:r w:rsidRPr="00FC3BBA">
        <w:rPr>
          <w:rFonts w:eastAsia="Calibri"/>
        </w:rPr>
        <w:tab/>
        <w:t>Нарушения ведения бухгалтерского учета, составления и представления бухгалтерской (финансовой) отчетности - установлено 21 нарушение у 7 главных администраторов средств бюджета г.о. Лыткарино (из них 3 финансовых нарушения на сумму 1 233,08 тыс. рублей у 3 ГАБС)</w:t>
      </w:r>
      <w:r>
        <w:rPr>
          <w:rFonts w:eastAsia="Calibri"/>
        </w:rPr>
        <w:t>.</w:t>
      </w:r>
      <w:r w:rsidRPr="00FC3BBA">
        <w:rPr>
          <w:rFonts w:eastAsia="Calibri"/>
        </w:rPr>
        <w:t xml:space="preserve"> </w:t>
      </w:r>
    </w:p>
    <w:p w14:paraId="5C7EF5EF" w14:textId="2005A94A" w:rsidR="00FC3BBA" w:rsidRDefault="00FC3BBA" w:rsidP="001E031A">
      <w:pPr>
        <w:pStyle w:val="ConsPlusNormal"/>
        <w:spacing w:line="276" w:lineRule="auto"/>
        <w:ind w:firstLine="426"/>
        <w:jc w:val="both"/>
        <w:rPr>
          <w:rFonts w:eastAsia="Calibri"/>
        </w:rPr>
      </w:pPr>
      <w:r w:rsidRPr="00FC3BBA">
        <w:rPr>
          <w:rFonts w:eastAsia="Calibri"/>
        </w:rPr>
        <w:t>3.</w:t>
      </w:r>
      <w:r w:rsidRPr="00FC3BBA">
        <w:rPr>
          <w:rFonts w:eastAsia="Calibri"/>
        </w:rPr>
        <w:tab/>
        <w:t>Иные нарушения – установлено 3 нарушения у 3 ГАБС в части нарушения Правил осуществления внутреннего финансового контроля и внутреннего финансового аудита</w:t>
      </w:r>
      <w:r>
        <w:rPr>
          <w:rFonts w:eastAsia="Calibri"/>
        </w:rPr>
        <w:t>.</w:t>
      </w:r>
    </w:p>
    <w:p w14:paraId="59A759FC" w14:textId="0DCDAD09" w:rsidR="008C1122" w:rsidRPr="008C1122" w:rsidRDefault="008C1122" w:rsidP="001E031A">
      <w:pPr>
        <w:pStyle w:val="ConsPlusNormal"/>
        <w:spacing w:line="276" w:lineRule="auto"/>
        <w:ind w:firstLine="720"/>
        <w:jc w:val="both"/>
        <w:rPr>
          <w:rFonts w:eastAsia="Calibri"/>
        </w:rPr>
      </w:pPr>
      <w:r w:rsidRPr="008C1122">
        <w:rPr>
          <w:rFonts w:eastAsia="Calibri"/>
        </w:rPr>
        <w:t>По результатам оценки эффективности реализации муниципальных программ по итогам 2023 года</w:t>
      </w:r>
      <w:r>
        <w:rPr>
          <w:rFonts w:eastAsia="Calibri"/>
        </w:rPr>
        <w:t xml:space="preserve"> установлено </w:t>
      </w:r>
      <w:r w:rsidRPr="001E031A">
        <w:rPr>
          <w:rFonts w:eastAsia="Calibri"/>
        </w:rPr>
        <w:t>недостижение 12% показателей результативности муниципальных программ</w:t>
      </w:r>
      <w:r w:rsidRPr="008C1122">
        <w:rPr>
          <w:rFonts w:eastAsia="Calibri"/>
        </w:rPr>
        <w:t>:</w:t>
      </w:r>
    </w:p>
    <w:p w14:paraId="04340678" w14:textId="612B8A79" w:rsidR="008C1122" w:rsidRPr="008C1122" w:rsidRDefault="008C1122" w:rsidP="001E031A">
      <w:pPr>
        <w:pStyle w:val="ConsPlusNormal"/>
        <w:spacing w:line="276" w:lineRule="auto"/>
        <w:ind w:firstLine="720"/>
        <w:jc w:val="both"/>
        <w:rPr>
          <w:rFonts w:eastAsia="Calibri"/>
        </w:rPr>
      </w:pPr>
      <w:r w:rsidRPr="008C1122">
        <w:rPr>
          <w:rFonts w:eastAsia="Calibri"/>
        </w:rPr>
        <w:t>реализация 7 муниципальных программ признана эффективной: «Социальная защита населения», «Жилище», «Развитие инженерной инфраструктуры, энергоэффективности и отрасли обращения с отходами», «Развитие и функционирование дорожно-транспортного комплекса», «Цифровое муниципальное образование», «Архитектура и градостроительство», «Формирование современной комфортной городской среды»</w:t>
      </w:r>
      <w:r>
        <w:rPr>
          <w:rFonts w:eastAsia="Calibri"/>
        </w:rPr>
        <w:t xml:space="preserve"> - достигнуты все целевые показатели из запланированных, финансирование было обеспечено в объемах от 95,6% до 100%</w:t>
      </w:r>
      <w:r w:rsidRPr="008C1122">
        <w:rPr>
          <w:rFonts w:eastAsia="Calibri"/>
        </w:rPr>
        <w:t>;</w:t>
      </w:r>
    </w:p>
    <w:p w14:paraId="74D2ED8C" w14:textId="77777777" w:rsidR="008C1122" w:rsidRDefault="008C1122" w:rsidP="001E031A">
      <w:pPr>
        <w:pStyle w:val="ConsPlusNormal"/>
        <w:spacing w:line="276" w:lineRule="auto"/>
        <w:ind w:firstLine="720"/>
        <w:jc w:val="both"/>
        <w:rPr>
          <w:rFonts w:eastAsia="Calibri"/>
        </w:rPr>
      </w:pPr>
      <w:r w:rsidRPr="008C1122">
        <w:rPr>
          <w:rFonts w:eastAsia="Calibri"/>
        </w:rPr>
        <w:t>реализация 6 муниципальных программ признана удовлетворительной</w:t>
      </w:r>
      <w:r>
        <w:rPr>
          <w:rFonts w:eastAsia="Calibri"/>
        </w:rPr>
        <w:t xml:space="preserve"> (отсутствовала согласованность объемов финансирования с показателями муниципальных программ)</w:t>
      </w:r>
      <w:r w:rsidRPr="008C1122">
        <w:rPr>
          <w:rFonts w:eastAsia="Calibri"/>
        </w:rPr>
        <w:t xml:space="preserve">: </w:t>
      </w:r>
    </w:p>
    <w:p w14:paraId="6382C303" w14:textId="697646CA" w:rsid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lastRenderedPageBreak/>
        <w:t>«</w:t>
      </w:r>
      <w:r w:rsidRPr="008C1122">
        <w:rPr>
          <w:rFonts w:eastAsia="Calibri"/>
        </w:rPr>
        <w:t>Культура и туризм»</w:t>
      </w:r>
      <w:r>
        <w:rPr>
          <w:rFonts w:eastAsia="Calibri"/>
        </w:rPr>
        <w:t xml:space="preserve"> </w:t>
      </w:r>
      <w:bookmarkStart w:id="3" w:name="_Hlk164866082"/>
      <w:r>
        <w:rPr>
          <w:rFonts w:eastAsia="Calibri"/>
        </w:rPr>
        <w:t>- не достигнуто 10% показателей, расходы исполнены на 99,9%</w:t>
      </w:r>
      <w:bookmarkEnd w:id="3"/>
      <w:r w:rsidRPr="008C1122">
        <w:rPr>
          <w:rFonts w:eastAsia="Calibri"/>
        </w:rPr>
        <w:t xml:space="preserve">, </w:t>
      </w:r>
    </w:p>
    <w:p w14:paraId="110ED1B7" w14:textId="356A64CC" w:rsid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 w:rsidRPr="008C1122">
        <w:rPr>
          <w:rFonts w:eastAsia="Calibri"/>
        </w:rPr>
        <w:t>«Образование»</w:t>
      </w:r>
      <w:r w:rsidRPr="008C1122">
        <w:t xml:space="preserve"> </w:t>
      </w:r>
      <w:bookmarkStart w:id="4" w:name="_Hlk164866143"/>
      <w:r w:rsidRPr="008C1122">
        <w:rPr>
          <w:rFonts w:eastAsia="Calibri"/>
        </w:rPr>
        <w:t>- не достигнуто 1</w:t>
      </w:r>
      <w:r>
        <w:rPr>
          <w:rFonts w:eastAsia="Calibri"/>
        </w:rPr>
        <w:t>7</w:t>
      </w:r>
      <w:r w:rsidRPr="008C1122">
        <w:rPr>
          <w:rFonts w:eastAsia="Calibri"/>
        </w:rPr>
        <w:t>% показателей, расходы исполнены на 9</w:t>
      </w:r>
      <w:r>
        <w:rPr>
          <w:rFonts w:eastAsia="Calibri"/>
        </w:rPr>
        <w:t>8</w:t>
      </w:r>
      <w:r w:rsidRPr="008C1122">
        <w:rPr>
          <w:rFonts w:eastAsia="Calibri"/>
        </w:rPr>
        <w:t>,</w:t>
      </w:r>
      <w:r>
        <w:rPr>
          <w:rFonts w:eastAsia="Calibri"/>
        </w:rPr>
        <w:t>8</w:t>
      </w:r>
      <w:r w:rsidRPr="008C1122">
        <w:rPr>
          <w:rFonts w:eastAsia="Calibri"/>
        </w:rPr>
        <w:t>%</w:t>
      </w:r>
      <w:bookmarkEnd w:id="4"/>
      <w:r w:rsidRPr="008C1122">
        <w:rPr>
          <w:rFonts w:eastAsia="Calibri"/>
        </w:rPr>
        <w:t xml:space="preserve">, </w:t>
      </w:r>
    </w:p>
    <w:p w14:paraId="4F72CE1B" w14:textId="2C8C0B26" w:rsid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 w:rsidRPr="008C1122">
        <w:rPr>
          <w:rFonts w:eastAsia="Calibri"/>
        </w:rPr>
        <w:t>«Спорт»</w:t>
      </w:r>
      <w:r w:rsidRPr="008C1122">
        <w:t xml:space="preserve"> </w:t>
      </w:r>
      <w:bookmarkStart w:id="5" w:name="_Hlk164866177"/>
      <w:r w:rsidRPr="008C1122">
        <w:rPr>
          <w:rFonts w:eastAsia="Calibri"/>
        </w:rPr>
        <w:t>- не достигнуто 1</w:t>
      </w:r>
      <w:r>
        <w:rPr>
          <w:rFonts w:eastAsia="Calibri"/>
        </w:rPr>
        <w:t>2,5</w:t>
      </w:r>
      <w:r w:rsidRPr="008C1122">
        <w:rPr>
          <w:rFonts w:eastAsia="Calibri"/>
        </w:rPr>
        <w:t xml:space="preserve">% показателей, расходы исполнены на </w:t>
      </w:r>
      <w:r>
        <w:rPr>
          <w:rFonts w:eastAsia="Calibri"/>
        </w:rPr>
        <w:t>99,6</w:t>
      </w:r>
      <w:r w:rsidRPr="008C1122">
        <w:rPr>
          <w:rFonts w:eastAsia="Calibri"/>
        </w:rPr>
        <w:t>%</w:t>
      </w:r>
      <w:bookmarkEnd w:id="5"/>
      <w:r w:rsidRPr="008C1122">
        <w:rPr>
          <w:rFonts w:eastAsia="Calibri"/>
        </w:rPr>
        <w:t xml:space="preserve">, </w:t>
      </w:r>
    </w:p>
    <w:p w14:paraId="4E654B59" w14:textId="474524E1" w:rsid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 w:rsidRPr="008C1122">
        <w:rPr>
          <w:rFonts w:eastAsia="Calibri"/>
        </w:rPr>
        <w:t>«Безопасность и обеспечение безопасности жизнедеятельности населения»</w:t>
      </w:r>
      <w:r w:rsidRPr="008C1122">
        <w:t xml:space="preserve"> </w:t>
      </w:r>
      <w:bookmarkStart w:id="6" w:name="_Hlk164866238"/>
      <w:r w:rsidRPr="008C1122">
        <w:rPr>
          <w:rFonts w:eastAsia="Calibri"/>
        </w:rPr>
        <w:t xml:space="preserve">- не достигнуто </w:t>
      </w:r>
      <w:r>
        <w:rPr>
          <w:rFonts w:eastAsia="Calibri"/>
        </w:rPr>
        <w:t>17</w:t>
      </w:r>
      <w:r w:rsidRPr="008C1122">
        <w:rPr>
          <w:rFonts w:eastAsia="Calibri"/>
        </w:rPr>
        <w:t xml:space="preserve">% показателей, расходы исполнены на </w:t>
      </w:r>
      <w:r>
        <w:rPr>
          <w:rFonts w:eastAsia="Calibri"/>
        </w:rPr>
        <w:t>80</w:t>
      </w:r>
      <w:r w:rsidRPr="008C1122">
        <w:rPr>
          <w:rFonts w:eastAsia="Calibri"/>
        </w:rPr>
        <w:t>,6%</w:t>
      </w:r>
      <w:bookmarkEnd w:id="6"/>
      <w:r w:rsidRPr="008C1122">
        <w:rPr>
          <w:rFonts w:eastAsia="Calibri"/>
        </w:rPr>
        <w:t xml:space="preserve">, </w:t>
      </w:r>
    </w:p>
    <w:p w14:paraId="48949490" w14:textId="4EC852F7" w:rsid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 w:rsidRPr="008C1122">
        <w:rPr>
          <w:rFonts w:eastAsia="Calibri"/>
        </w:rPr>
        <w:t>«Управление имуществом и муниципальными финансами»</w:t>
      </w:r>
      <w:r w:rsidRPr="008C1122">
        <w:t xml:space="preserve"> </w:t>
      </w:r>
      <w:r w:rsidRPr="008C1122">
        <w:rPr>
          <w:rFonts w:eastAsia="Calibri"/>
        </w:rPr>
        <w:t xml:space="preserve">- не достигнуто </w:t>
      </w:r>
      <w:r>
        <w:rPr>
          <w:rFonts w:eastAsia="Calibri"/>
        </w:rPr>
        <w:t>30</w:t>
      </w:r>
      <w:r w:rsidRPr="008C1122">
        <w:rPr>
          <w:rFonts w:eastAsia="Calibri"/>
        </w:rPr>
        <w:t xml:space="preserve">% показателей, расходы исполнены на </w:t>
      </w:r>
      <w:r>
        <w:rPr>
          <w:rFonts w:eastAsia="Calibri"/>
        </w:rPr>
        <w:t>99,2</w:t>
      </w:r>
      <w:r w:rsidRPr="008C1122">
        <w:rPr>
          <w:rFonts w:eastAsia="Calibri"/>
        </w:rPr>
        <w:t xml:space="preserve">%, </w:t>
      </w:r>
    </w:p>
    <w:p w14:paraId="5AE8EEFA" w14:textId="7E1A4B4C" w:rsidR="008C1122" w:rsidRPr="008C1122" w:rsidRDefault="008C1122" w:rsidP="001E031A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t>«</w:t>
      </w:r>
      <w:r w:rsidRPr="008C1122">
        <w:rPr>
          <w:rFonts w:eastAsia="Calibri"/>
        </w:rPr>
        <w:t>Развитие институтов гражданского общества, повышение эффективности местного самоуправления и реализация молодежной политики»</w:t>
      </w:r>
      <w:r>
        <w:rPr>
          <w:rFonts w:eastAsia="Calibri"/>
        </w:rPr>
        <w:t xml:space="preserve"> - </w:t>
      </w:r>
      <w:r w:rsidRPr="008C1122">
        <w:rPr>
          <w:rFonts w:eastAsia="Calibri"/>
        </w:rPr>
        <w:t>не достигнуто 1</w:t>
      </w:r>
      <w:r>
        <w:rPr>
          <w:rFonts w:eastAsia="Calibri"/>
        </w:rPr>
        <w:t>4,3</w:t>
      </w:r>
      <w:r w:rsidRPr="008C1122">
        <w:rPr>
          <w:rFonts w:eastAsia="Calibri"/>
        </w:rPr>
        <w:t xml:space="preserve">% показателей, расходы исполнены на </w:t>
      </w:r>
      <w:r>
        <w:rPr>
          <w:rFonts w:eastAsia="Calibri"/>
        </w:rPr>
        <w:t>92,9</w:t>
      </w:r>
      <w:r w:rsidRPr="008C1122">
        <w:rPr>
          <w:rFonts w:eastAsia="Calibri"/>
        </w:rPr>
        <w:t>%;</w:t>
      </w:r>
    </w:p>
    <w:p w14:paraId="354D6159" w14:textId="05D82367" w:rsidR="008C1122" w:rsidRDefault="008C1122" w:rsidP="001E031A">
      <w:pPr>
        <w:pStyle w:val="ConsPlusNormal"/>
        <w:spacing w:line="276" w:lineRule="auto"/>
        <w:ind w:firstLine="720"/>
        <w:jc w:val="both"/>
        <w:rPr>
          <w:rFonts w:eastAsia="Calibri"/>
        </w:rPr>
      </w:pPr>
      <w:r w:rsidRPr="008C1122">
        <w:rPr>
          <w:rFonts w:eastAsia="Calibri"/>
        </w:rPr>
        <w:t xml:space="preserve">реализация 2 муниципальных программ признана </w:t>
      </w:r>
      <w:r w:rsidRPr="001E031A">
        <w:rPr>
          <w:rFonts w:eastAsia="Calibri"/>
        </w:rPr>
        <w:t>не эффективной</w:t>
      </w:r>
      <w:r w:rsidRPr="008C1122">
        <w:rPr>
          <w:rFonts w:eastAsia="Calibri"/>
        </w:rPr>
        <w:t>: «Развитие сельского хозяйства» и «Экология и окружающая среда»</w:t>
      </w:r>
      <w:r w:rsidR="00D4628F">
        <w:rPr>
          <w:rFonts w:eastAsia="Calibri"/>
        </w:rPr>
        <w:t xml:space="preserve"> (при финансировании 96,5% и 100% соответственно ни один показатель не был достигнут)</w:t>
      </w:r>
      <w:r w:rsidRPr="008C1122">
        <w:rPr>
          <w:rFonts w:eastAsia="Calibri"/>
        </w:rPr>
        <w:t>.</w:t>
      </w:r>
    </w:p>
    <w:p w14:paraId="0C53E91D" w14:textId="00FC1119" w:rsidR="00D4628F" w:rsidRPr="001E031A" w:rsidRDefault="00D4628F" w:rsidP="001E031A">
      <w:pPr>
        <w:pStyle w:val="ConsPlusNormal"/>
        <w:spacing w:before="240" w:line="276" w:lineRule="auto"/>
        <w:ind w:firstLine="720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По итогам внешней проверки </w:t>
      </w:r>
      <w:r w:rsidRPr="00D4628F">
        <w:rPr>
          <w:rFonts w:eastAsia="Calibri"/>
        </w:rPr>
        <w:t>годового отчета об исполнении бюджета городского округа Лыткарино за 2023 год</w:t>
      </w:r>
      <w:r>
        <w:rPr>
          <w:rFonts w:eastAsia="Calibri"/>
        </w:rPr>
        <w:t xml:space="preserve"> </w:t>
      </w:r>
      <w:r w:rsidRPr="001E031A">
        <w:rPr>
          <w:rFonts w:eastAsia="Calibri"/>
          <w:b/>
          <w:bCs/>
        </w:rPr>
        <w:t>предлагается принять меры по повышению эффективности и результативности реализации муниципальных программ, в том числе достижения плановых значений показателей реализации муниципальных программ.</w:t>
      </w:r>
    </w:p>
    <w:p w14:paraId="649179E2" w14:textId="5059490A" w:rsidR="000D2890" w:rsidRPr="00D4628F" w:rsidRDefault="00E508BE" w:rsidP="001E031A">
      <w:pPr>
        <w:pStyle w:val="ConsPlusNormal"/>
        <w:spacing w:before="240" w:line="276" w:lineRule="auto"/>
        <w:ind w:firstLine="720"/>
        <w:jc w:val="both"/>
        <w:rPr>
          <w:rFonts w:eastAsia="Calibri"/>
        </w:rPr>
      </w:pPr>
      <w:r w:rsidRPr="00D4628F">
        <w:rPr>
          <w:rFonts w:eastAsia="Calibri"/>
        </w:rPr>
        <w:t xml:space="preserve">В соответствии с представленным проектом решения утверждается исполнение бюджета городского округа </w:t>
      </w:r>
      <w:r w:rsidR="00441F34" w:rsidRPr="00D4628F">
        <w:rPr>
          <w:rFonts w:eastAsia="Calibri"/>
        </w:rPr>
        <w:t xml:space="preserve">Лыткарино </w:t>
      </w:r>
      <w:r w:rsidRPr="00D4628F">
        <w:rPr>
          <w:rFonts w:eastAsia="Calibri"/>
        </w:rPr>
        <w:t>за 202</w:t>
      </w:r>
      <w:r w:rsidR="004976AE" w:rsidRPr="00D4628F">
        <w:rPr>
          <w:rFonts w:eastAsia="Calibri"/>
        </w:rPr>
        <w:t>3</w:t>
      </w:r>
      <w:r w:rsidRPr="00D4628F">
        <w:rPr>
          <w:rFonts w:eastAsia="Calibri"/>
        </w:rPr>
        <w:t xml:space="preserve"> год по основным характеристикам:</w:t>
      </w:r>
    </w:p>
    <w:p w14:paraId="53D21970" w14:textId="697169CA" w:rsidR="009444F6" w:rsidRPr="00D4628F" w:rsidRDefault="00E508BE" w:rsidP="001E031A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28F">
        <w:rPr>
          <w:rFonts w:ascii="Times New Roman" w:eastAsia="Calibri" w:hAnsi="Times New Roman" w:cs="Times New Roman"/>
          <w:sz w:val="28"/>
          <w:szCs w:val="28"/>
        </w:rPr>
        <w:t xml:space="preserve">доходам в сумме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4 342,4</w:t>
      </w:r>
      <w:r w:rsidRPr="00D46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F34" w:rsidRPr="00D4628F">
        <w:rPr>
          <w:rFonts w:ascii="Times New Roman" w:eastAsia="Calibri" w:hAnsi="Times New Roman" w:cs="Times New Roman"/>
          <w:sz w:val="28"/>
          <w:szCs w:val="28"/>
        </w:rPr>
        <w:t>млн</w:t>
      </w:r>
      <w:r w:rsidRPr="00D4628F">
        <w:rPr>
          <w:rFonts w:ascii="Times New Roman" w:eastAsia="Calibri" w:hAnsi="Times New Roman" w:cs="Times New Roman"/>
          <w:sz w:val="28"/>
          <w:szCs w:val="28"/>
        </w:rPr>
        <w:t>. руб</w:t>
      </w:r>
      <w:r w:rsidR="00441F34" w:rsidRPr="00D4628F">
        <w:rPr>
          <w:rFonts w:ascii="Times New Roman" w:eastAsia="Calibri" w:hAnsi="Times New Roman" w:cs="Times New Roman"/>
          <w:sz w:val="28"/>
          <w:szCs w:val="28"/>
        </w:rPr>
        <w:t>лей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105,2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 xml:space="preserve">% от уточненного плана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4 126,1 млн. рублей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>)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4628F">
        <w:rPr>
          <w:rFonts w:ascii="Times New Roman" w:eastAsia="Calibri" w:hAnsi="Times New Roman" w:cs="Times New Roman"/>
          <w:sz w:val="28"/>
          <w:szCs w:val="28"/>
        </w:rPr>
        <w:t xml:space="preserve">расходам в сумме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 xml:space="preserve">4 016,0 млн. рублей 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>(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9</w:t>
      </w:r>
      <w:r w:rsidR="00D4628F" w:rsidRPr="00D4628F">
        <w:rPr>
          <w:rFonts w:ascii="Times New Roman" w:eastAsia="Calibri" w:hAnsi="Times New Roman" w:cs="Times New Roman"/>
          <w:sz w:val="28"/>
          <w:szCs w:val="28"/>
        </w:rPr>
        <w:t>4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,</w:t>
      </w:r>
      <w:r w:rsidR="00D4628F" w:rsidRPr="00D4628F">
        <w:rPr>
          <w:rFonts w:ascii="Times New Roman" w:eastAsia="Calibri" w:hAnsi="Times New Roman" w:cs="Times New Roman"/>
          <w:sz w:val="28"/>
          <w:szCs w:val="28"/>
        </w:rPr>
        <w:t>7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 xml:space="preserve">% от уточненного плана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4 241,0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млн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>. руб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лей</w:t>
      </w:r>
      <w:r w:rsidR="004976AE" w:rsidRPr="00D4628F">
        <w:rPr>
          <w:rFonts w:ascii="Times New Roman" w:eastAsia="Calibri" w:hAnsi="Times New Roman" w:cs="Times New Roman"/>
          <w:sz w:val="28"/>
          <w:szCs w:val="28"/>
        </w:rPr>
        <w:t>)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4628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B1A96" w:rsidRPr="00D4628F">
        <w:rPr>
          <w:rFonts w:ascii="Times New Roman" w:eastAsia="Calibri" w:hAnsi="Times New Roman" w:cs="Times New Roman"/>
          <w:sz w:val="28"/>
          <w:szCs w:val="28"/>
        </w:rPr>
        <w:t>профицитом</w:t>
      </w:r>
      <w:r w:rsidRPr="00D4628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D2890" w:rsidRPr="00D4628F">
        <w:rPr>
          <w:rFonts w:ascii="Times New Roman" w:eastAsia="Calibri" w:hAnsi="Times New Roman" w:cs="Times New Roman"/>
          <w:sz w:val="28"/>
          <w:szCs w:val="28"/>
        </w:rPr>
        <w:t>размере 326,4 млн. рублей</w:t>
      </w:r>
      <w:r w:rsidRPr="00D462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4E7041" w14:textId="4C110C00" w:rsidR="000D2890" w:rsidRPr="000D2890" w:rsidRDefault="009444F6" w:rsidP="001E031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31A">
        <w:rPr>
          <w:rFonts w:ascii="Times New Roman" w:eastAsia="Calibri" w:hAnsi="Times New Roman" w:cs="Times New Roman"/>
          <w:sz w:val="28"/>
          <w:szCs w:val="28"/>
        </w:rPr>
        <w:t>По сравнению с 2022 годом поступление доходов увеличилось на 1</w:t>
      </w:r>
      <w:r w:rsidR="00D4628F" w:rsidRPr="001E031A">
        <w:rPr>
          <w:rFonts w:ascii="Times New Roman" w:eastAsia="Calibri" w:hAnsi="Times New Roman" w:cs="Times New Roman"/>
          <w:sz w:val="28"/>
          <w:szCs w:val="28"/>
        </w:rPr>
        <w:t> 419,5</w:t>
      </w:r>
      <w:r w:rsidRPr="001E031A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48,</w:t>
      </w:r>
      <w:r w:rsidR="00D4628F" w:rsidRPr="001E031A">
        <w:rPr>
          <w:rFonts w:ascii="Times New Roman" w:eastAsia="Calibri" w:hAnsi="Times New Roman" w:cs="Times New Roman"/>
          <w:sz w:val="28"/>
          <w:szCs w:val="28"/>
        </w:rPr>
        <w:t>4</w:t>
      </w:r>
      <w:r w:rsidRPr="001E031A">
        <w:rPr>
          <w:rFonts w:ascii="Times New Roman" w:eastAsia="Calibri" w:hAnsi="Times New Roman" w:cs="Times New Roman"/>
          <w:sz w:val="28"/>
          <w:szCs w:val="28"/>
        </w:rPr>
        <w:t>%, по сравнению с 2021 годом – рост поступлений доходов в бюджет городского округа Лыткарино составил 83,8% или на 1 979,6 млн. рублей.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городского округа Лыткарино по расходам на протяжении трех лет </w:t>
      </w:r>
      <w:r w:rsidR="001E031A" w:rsidRPr="001E031A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1E031A" w:rsidRPr="001E031A">
        <w:rPr>
          <w:rFonts w:ascii="Times New Roman" w:eastAsia="Calibri" w:hAnsi="Times New Roman" w:cs="Times New Roman"/>
          <w:sz w:val="28"/>
          <w:szCs w:val="28"/>
        </w:rPr>
        <w:t xml:space="preserve">с положительной динамикой – в 2023 году на </w:t>
      </w:r>
      <w:r w:rsidR="001E031A">
        <w:rPr>
          <w:rFonts w:ascii="Times New Roman" w:eastAsia="Calibri" w:hAnsi="Times New Roman" w:cs="Times New Roman"/>
          <w:sz w:val="28"/>
          <w:szCs w:val="28"/>
        </w:rPr>
        <w:t xml:space="preserve">37,4% по сравнению с 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1E031A">
        <w:rPr>
          <w:rFonts w:ascii="Times New Roman" w:eastAsia="Calibri" w:hAnsi="Times New Roman" w:cs="Times New Roman"/>
          <w:sz w:val="28"/>
          <w:szCs w:val="28"/>
        </w:rPr>
        <w:t>ом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 xml:space="preserve"> (2 922,9 млн. рублей), </w:t>
      </w:r>
      <w:r w:rsidR="001E031A">
        <w:rPr>
          <w:rFonts w:ascii="Times New Roman" w:eastAsia="Calibri" w:hAnsi="Times New Roman" w:cs="Times New Roman"/>
          <w:sz w:val="28"/>
          <w:szCs w:val="28"/>
        </w:rPr>
        <w:t>на 70,8% по сравнению с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="001E031A">
        <w:rPr>
          <w:rFonts w:ascii="Times New Roman" w:eastAsia="Calibri" w:hAnsi="Times New Roman" w:cs="Times New Roman"/>
          <w:sz w:val="28"/>
          <w:szCs w:val="28"/>
        </w:rPr>
        <w:t>ом</w:t>
      </w:r>
      <w:r w:rsidR="001F3C11" w:rsidRPr="001E031A">
        <w:rPr>
          <w:rFonts w:ascii="Times New Roman" w:eastAsia="Calibri" w:hAnsi="Times New Roman" w:cs="Times New Roman"/>
          <w:sz w:val="28"/>
          <w:szCs w:val="28"/>
        </w:rPr>
        <w:t xml:space="preserve"> (2 351,7 млн. рублей).</w:t>
      </w:r>
    </w:p>
    <w:p w14:paraId="6224EE86" w14:textId="3ADF4880" w:rsidR="00711B81" w:rsidRPr="000D2890" w:rsidRDefault="00711B81" w:rsidP="001E031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Осуществленная Контрольно-счетной палатой экспертиза проекта решения </w:t>
      </w:r>
      <w:r w:rsidR="000D2890" w:rsidRPr="000D2890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городского округа Лыткарино 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«Об исполнении бюджета </w:t>
      </w:r>
      <w:r w:rsidR="00CB465C" w:rsidRPr="000D2890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65C" w:rsidRPr="000D289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890" w:rsidRPr="000D2890">
        <w:rPr>
          <w:rFonts w:ascii="Times New Roman" w:eastAsia="Calibri" w:hAnsi="Times New Roman" w:cs="Times New Roman"/>
          <w:sz w:val="28"/>
          <w:szCs w:val="28"/>
        </w:rPr>
        <w:t>Лыткарино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BA208F" w:rsidRPr="000D2890">
        <w:rPr>
          <w:rFonts w:ascii="Times New Roman" w:eastAsia="Calibri" w:hAnsi="Times New Roman" w:cs="Times New Roman"/>
          <w:sz w:val="28"/>
          <w:szCs w:val="28"/>
        </w:rPr>
        <w:t>2023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EF7C0B" w:rsidRPr="000D2890">
        <w:rPr>
          <w:rFonts w:ascii="Times New Roman" w:eastAsia="Calibri" w:hAnsi="Times New Roman" w:cs="Times New Roman"/>
          <w:sz w:val="28"/>
          <w:szCs w:val="28"/>
        </w:rPr>
        <w:t>с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видетельствует о соответствии основных показателей проекта аналогичным показателям </w:t>
      </w:r>
      <w:bookmarkStart w:id="7" w:name="_Hlk164866642"/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годового отчета об исполнении </w:t>
      </w:r>
      <w:r w:rsidRPr="000D28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</w:t>
      </w:r>
      <w:r w:rsidR="00CB465C" w:rsidRPr="000D2890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65C" w:rsidRPr="000D289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890" w:rsidRPr="000D2890">
        <w:rPr>
          <w:rFonts w:ascii="Times New Roman" w:eastAsia="Calibri" w:hAnsi="Times New Roman" w:cs="Times New Roman"/>
          <w:sz w:val="28"/>
          <w:szCs w:val="28"/>
        </w:rPr>
        <w:t xml:space="preserve">Лыткарино 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A208F" w:rsidRPr="000D2890">
        <w:rPr>
          <w:rFonts w:ascii="Times New Roman" w:eastAsia="Calibri" w:hAnsi="Times New Roman" w:cs="Times New Roman"/>
          <w:sz w:val="28"/>
          <w:szCs w:val="28"/>
        </w:rPr>
        <w:t>2023</w:t>
      </w:r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7"/>
      <w:r w:rsidRPr="000D2890">
        <w:rPr>
          <w:rFonts w:ascii="Times New Roman" w:eastAsia="Calibri" w:hAnsi="Times New Roman" w:cs="Times New Roman"/>
          <w:sz w:val="28"/>
          <w:szCs w:val="28"/>
        </w:rPr>
        <w:t xml:space="preserve">, представленного в Контрольно-счетную палату для </w:t>
      </w:r>
      <w:r w:rsidR="0088739D" w:rsidRPr="000D2890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88739D" w:rsidRPr="000D2890">
        <w:rPr>
          <w:rFonts w:ascii="Times New Roman" w:eastAsia="Calibri" w:hAnsi="Times New Roman" w:cs="Times New Roman"/>
          <w:bCs/>
          <w:sz w:val="28"/>
          <w:szCs w:val="28"/>
        </w:rPr>
        <w:t>проверки годового отчёта об исполнении бюджета</w:t>
      </w:r>
      <w:r w:rsidRPr="000D28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F77EC7" w14:textId="77405A6B" w:rsidR="00DB14C1" w:rsidRPr="000423A6" w:rsidRDefault="00711B81" w:rsidP="001E031A">
      <w:pPr>
        <w:autoSpaceDE w:val="0"/>
        <w:autoSpaceDN w:val="0"/>
        <w:adjustRightInd w:val="0"/>
        <w:spacing w:before="240" w:after="0"/>
        <w:ind w:firstLine="709"/>
        <w:jc w:val="both"/>
        <w:rPr>
          <w:color w:val="FF0000"/>
        </w:rPr>
      </w:pP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проведенной проверки отчета об исполнении бюджета </w:t>
      </w:r>
      <w:r w:rsidR="00CB465C" w:rsidRPr="000423A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5C" w:rsidRPr="000423A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208F" w:rsidRPr="000423A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год, Контрольно-счетная палата подтверждает достоверность отчета об исполнении бюджета </w:t>
      </w:r>
      <w:r w:rsidR="00CB465C" w:rsidRPr="000423A6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042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65C" w:rsidRPr="000423A6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208F" w:rsidRPr="000423A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год, представленного в форме проекта, и считает целесообразным предложить </w:t>
      </w:r>
      <w:bookmarkStart w:id="8" w:name="_Hlk164777638"/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</w:t>
      </w:r>
      <w:r w:rsidR="00F26C1B" w:rsidRPr="000423A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eastAsia="Times New Roman" w:hAnsi="Times New Roman" w:cs="Times New Roman"/>
          <w:sz w:val="28"/>
          <w:szCs w:val="28"/>
        </w:rPr>
        <w:t>Лыткарин</w:t>
      </w:r>
      <w:bookmarkEnd w:id="8"/>
      <w:r w:rsidR="000423A6" w:rsidRPr="000423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CB465C" w:rsidRPr="000423A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5C" w:rsidRPr="000423A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A6" w:rsidRPr="000423A6">
        <w:rPr>
          <w:rFonts w:ascii="Times New Roman" w:eastAsia="Times New Roman" w:hAnsi="Times New Roman" w:cs="Times New Roman"/>
          <w:sz w:val="28"/>
          <w:szCs w:val="28"/>
        </w:rPr>
        <w:t xml:space="preserve">Лыткарино 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208F" w:rsidRPr="000423A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423A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sectPr w:rsidR="00DB14C1" w:rsidRPr="000423A6" w:rsidSect="003C344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1F9" w14:textId="77777777" w:rsidR="003C344D" w:rsidRDefault="003C344D">
      <w:pPr>
        <w:spacing w:after="0" w:line="240" w:lineRule="auto"/>
      </w:pPr>
      <w:r>
        <w:separator/>
      </w:r>
    </w:p>
  </w:endnote>
  <w:endnote w:type="continuationSeparator" w:id="0">
    <w:p w14:paraId="0054F9D6" w14:textId="77777777" w:rsidR="003C344D" w:rsidRDefault="003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1334"/>
      <w:docPartObj>
        <w:docPartGallery w:val="Page Numbers (Bottom of Page)"/>
        <w:docPartUnique/>
      </w:docPartObj>
    </w:sdtPr>
    <w:sdtEndPr/>
    <w:sdtContent>
      <w:p w14:paraId="3700F5AE" w14:textId="13BC5128" w:rsidR="001943A1" w:rsidRDefault="001943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AD647" w14:textId="77777777" w:rsidR="00112A66" w:rsidRDefault="00112A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A72C" w14:textId="77777777" w:rsidR="003C344D" w:rsidRDefault="003C344D">
      <w:pPr>
        <w:spacing w:after="0" w:line="240" w:lineRule="auto"/>
      </w:pPr>
      <w:r>
        <w:separator/>
      </w:r>
    </w:p>
  </w:footnote>
  <w:footnote w:type="continuationSeparator" w:id="0">
    <w:p w14:paraId="48D404E0" w14:textId="77777777" w:rsidR="003C344D" w:rsidRDefault="003C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07A"/>
    <w:multiLevelType w:val="hybridMultilevel"/>
    <w:tmpl w:val="862CE01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03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1"/>
    <w:rsid w:val="000423A6"/>
    <w:rsid w:val="000534BB"/>
    <w:rsid w:val="00054D3E"/>
    <w:rsid w:val="000666BB"/>
    <w:rsid w:val="000A380D"/>
    <w:rsid w:val="000D2890"/>
    <w:rsid w:val="00112A66"/>
    <w:rsid w:val="001943A1"/>
    <w:rsid w:val="001E031A"/>
    <w:rsid w:val="001F3C11"/>
    <w:rsid w:val="00227E0D"/>
    <w:rsid w:val="00230CCC"/>
    <w:rsid w:val="002621A4"/>
    <w:rsid w:val="00282C7B"/>
    <w:rsid w:val="002C4667"/>
    <w:rsid w:val="002D0738"/>
    <w:rsid w:val="002D5E6C"/>
    <w:rsid w:val="003C344D"/>
    <w:rsid w:val="00441F34"/>
    <w:rsid w:val="004976AE"/>
    <w:rsid w:val="005B77BD"/>
    <w:rsid w:val="0063548D"/>
    <w:rsid w:val="007025E8"/>
    <w:rsid w:val="00711B81"/>
    <w:rsid w:val="007C6A16"/>
    <w:rsid w:val="0088739D"/>
    <w:rsid w:val="008B1A96"/>
    <w:rsid w:val="008C1122"/>
    <w:rsid w:val="009444F6"/>
    <w:rsid w:val="009A7F1C"/>
    <w:rsid w:val="009B18FD"/>
    <w:rsid w:val="00BA208F"/>
    <w:rsid w:val="00CB465C"/>
    <w:rsid w:val="00CC0DB0"/>
    <w:rsid w:val="00D4628F"/>
    <w:rsid w:val="00DA706B"/>
    <w:rsid w:val="00DB14C1"/>
    <w:rsid w:val="00DB14ED"/>
    <w:rsid w:val="00E508BE"/>
    <w:rsid w:val="00E54829"/>
    <w:rsid w:val="00EE7E6E"/>
    <w:rsid w:val="00EF7C0B"/>
    <w:rsid w:val="00F26C1B"/>
    <w:rsid w:val="00F46158"/>
    <w:rsid w:val="00FC3BB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0298"/>
  <w15:docId w15:val="{81070F26-EBDE-4BA3-B6F9-CD74A32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1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1B81"/>
  </w:style>
  <w:style w:type="paragraph" w:styleId="a5">
    <w:name w:val="header"/>
    <w:basedOn w:val="a"/>
    <w:link w:val="a6"/>
    <w:uiPriority w:val="99"/>
    <w:unhideWhenUsed/>
    <w:rsid w:val="008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39D"/>
  </w:style>
  <w:style w:type="paragraph" w:styleId="a7">
    <w:name w:val="Balloon Text"/>
    <w:basedOn w:val="a"/>
    <w:link w:val="a8"/>
    <w:uiPriority w:val="99"/>
    <w:semiHidden/>
    <w:unhideWhenUsed/>
    <w:rsid w:val="008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ЛЫТК КСП</cp:lastModifiedBy>
  <cp:revision>4</cp:revision>
  <cp:lastPrinted>2024-04-24T13:11:00Z</cp:lastPrinted>
  <dcterms:created xsi:type="dcterms:W3CDTF">2024-04-24T13:18:00Z</dcterms:created>
  <dcterms:modified xsi:type="dcterms:W3CDTF">2024-04-27T06:34:00Z</dcterms:modified>
</cp:coreProperties>
</file>